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254625">
      <w:pPr>
        <w:pStyle w:val="Heading1"/>
        <w:spacing w:before="0" w:after="0" w:line="240" w:lineRule="auto"/>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B5D34C2" w14:textId="12EA1B96" w:rsidR="00502D7A" w:rsidRPr="00502D7A" w:rsidRDefault="00502D7A" w:rsidP="00F40119">
      <w:pPr>
        <w:rPr>
          <w:b/>
          <w:bCs/>
        </w:rPr>
      </w:pPr>
      <w:r w:rsidRPr="00502D7A">
        <w:rPr>
          <w:b/>
          <w:bCs/>
        </w:rPr>
        <w:t>Global Markets</w:t>
      </w:r>
    </w:p>
    <w:p w14:paraId="3F0D0268" w14:textId="78F8B4BD" w:rsidR="00803508" w:rsidRDefault="00803508" w:rsidP="00F40119">
      <w:r>
        <w:t>Another month of crazy v</w:t>
      </w:r>
      <w:r w:rsidR="006135A2">
        <w:t xml:space="preserve">olatility </w:t>
      </w:r>
      <w:r>
        <w:t xml:space="preserve">and bouncing markets. Green shoots on the horizon as countries start to negotiate better outcomes to mitigate the impact of US tariffs. Not that US tariffs are going away anytime soon; however, </w:t>
      </w:r>
      <w:r w:rsidRPr="00803508">
        <w:rPr>
          <w:b/>
          <w:bCs/>
        </w:rPr>
        <w:t>we have 90 days</w:t>
      </w:r>
      <w:r>
        <w:t xml:space="preserve"> to gain an understanding on what countries and companies are going to be impacted most by the changes.</w:t>
      </w:r>
    </w:p>
    <w:p w14:paraId="1C457C2E" w14:textId="77777777" w:rsidR="00803508" w:rsidRDefault="00803508" w:rsidP="00F40119">
      <w:r>
        <w:t>The Gl</w:t>
      </w:r>
      <w:r w:rsidR="006135A2">
        <w:t xml:space="preserve">obal Markets </w:t>
      </w:r>
      <w:r>
        <w:t xml:space="preserve">finished the month on a better platform then when it started </w:t>
      </w:r>
      <w:r w:rsidR="006135A2" w:rsidRPr="006135A2">
        <w:rPr>
          <w:b/>
          <w:bCs/>
        </w:rPr>
        <w:t xml:space="preserve">bringing </w:t>
      </w:r>
      <w:r>
        <w:rPr>
          <w:b/>
          <w:bCs/>
        </w:rPr>
        <w:t xml:space="preserve">pockets of </w:t>
      </w:r>
      <w:r w:rsidR="006135A2" w:rsidRPr="006135A2">
        <w:rPr>
          <w:b/>
          <w:bCs/>
        </w:rPr>
        <w:t xml:space="preserve">certainty to a world that </w:t>
      </w:r>
      <w:r>
        <w:rPr>
          <w:b/>
          <w:bCs/>
        </w:rPr>
        <w:t>is suffering from tariff mania</w:t>
      </w:r>
      <w:r w:rsidR="006135A2">
        <w:t xml:space="preserve">. US </w:t>
      </w:r>
      <w:r w:rsidR="00C7157C">
        <w:t>President Donald Trump</w:t>
      </w:r>
      <w:r w:rsidR="004B3368">
        <w:t xml:space="preserve"> has </w:t>
      </w:r>
      <w:r>
        <w:t xml:space="preserve">now started to take a step back and seek negotiations from impacted countries and more recently, China has at least gained a reprieve to look at its options. </w:t>
      </w:r>
    </w:p>
    <w:p w14:paraId="26733085" w14:textId="241BDD7F" w:rsidR="004B3368" w:rsidRDefault="00803508" w:rsidP="00F40119">
      <w:r>
        <w:t>T</w:t>
      </w:r>
      <w:r w:rsidR="004B3368">
        <w:t xml:space="preserve">he </w:t>
      </w:r>
      <w:r w:rsidR="004B32E4" w:rsidRPr="006135A2">
        <w:rPr>
          <w:b/>
          <w:bCs/>
        </w:rPr>
        <w:t>US</w:t>
      </w:r>
      <w:r w:rsidR="004B3368" w:rsidRPr="006135A2">
        <w:rPr>
          <w:b/>
          <w:bCs/>
        </w:rPr>
        <w:t xml:space="preserve"> share markets responded </w:t>
      </w:r>
      <w:r>
        <w:rPr>
          <w:b/>
          <w:bCs/>
        </w:rPr>
        <w:t xml:space="preserve">to the recent developments by rallying </w:t>
      </w:r>
      <w:r w:rsidR="004B3368" w:rsidRPr="006135A2">
        <w:rPr>
          <w:b/>
          <w:bCs/>
        </w:rPr>
        <w:t>sharply</w:t>
      </w:r>
      <w:r w:rsidR="004B32E4">
        <w:t xml:space="preserve"> </w:t>
      </w:r>
      <w:r>
        <w:t>however, the bond markets are still not convinced and are in retreat (yields up)</w:t>
      </w:r>
      <w:r w:rsidR="006135A2">
        <w:t xml:space="preserve"> reflect</w:t>
      </w:r>
      <w:r>
        <w:t>ing</w:t>
      </w:r>
      <w:r w:rsidR="006135A2">
        <w:t xml:space="preserve"> the nervous </w:t>
      </w:r>
      <w:r w:rsidR="006135A2" w:rsidRPr="006135A2">
        <w:rPr>
          <w:b/>
          <w:bCs/>
        </w:rPr>
        <w:t>US interest rate market with yields rising</w:t>
      </w:r>
      <w:r w:rsidR="006135A2">
        <w:t xml:space="preserve"> again towards the 4.5% level, </w:t>
      </w:r>
      <w:r w:rsidR="004B32E4">
        <w:t xml:space="preserve">believing that the </w:t>
      </w:r>
      <w:r w:rsidR="004B32E4" w:rsidRPr="006135A2">
        <w:rPr>
          <w:b/>
          <w:bCs/>
        </w:rPr>
        <w:t>tariffs will be inflationary</w:t>
      </w:r>
      <w:r w:rsidR="004B32E4">
        <w:t xml:space="preserve"> and hurt their economy</w:t>
      </w:r>
      <w:r w:rsidR="00C7157C">
        <w:t>.</w:t>
      </w:r>
    </w:p>
    <w:p w14:paraId="5A391FB7" w14:textId="71E14986" w:rsidR="006135A2" w:rsidRPr="00CA374B" w:rsidRDefault="00CA374B" w:rsidP="00F40119">
      <w:r>
        <w:t>T</w:t>
      </w:r>
      <w:r w:rsidR="001C4A6F">
        <w:t xml:space="preserve">he </w:t>
      </w:r>
      <w:r>
        <w:t>9</w:t>
      </w:r>
      <w:r w:rsidRPr="001C4A6F">
        <w:rPr>
          <w:vertAlign w:val="superscript"/>
        </w:rPr>
        <w:t>th of</w:t>
      </w:r>
      <w:r w:rsidR="001C4A6F">
        <w:t xml:space="preserve"> </w:t>
      </w:r>
      <w:r>
        <w:t>April</w:t>
      </w:r>
      <w:r w:rsidR="001C4A6F">
        <w:t xml:space="preserve"> 2025 </w:t>
      </w:r>
      <w:r>
        <w:t xml:space="preserve">announcement of a </w:t>
      </w:r>
      <w:r w:rsidR="006135A2">
        <w:t xml:space="preserve">90 day pause </w:t>
      </w:r>
      <w:r>
        <w:t xml:space="preserve">in </w:t>
      </w:r>
      <w:r w:rsidR="002D7EED">
        <w:t xml:space="preserve">US </w:t>
      </w:r>
      <w:r>
        <w:t>tar</w:t>
      </w:r>
      <w:r w:rsidR="006135A2">
        <w:t xml:space="preserve">iffs with </w:t>
      </w:r>
      <w:r w:rsidR="006135A2" w:rsidRPr="006515F3">
        <w:rPr>
          <w:b/>
          <w:bCs/>
        </w:rPr>
        <w:t xml:space="preserve">a flat rate instead of 10% for everyone </w:t>
      </w:r>
      <w:r w:rsidR="006515F3" w:rsidRPr="006515F3">
        <w:rPr>
          <w:b/>
          <w:bCs/>
        </w:rPr>
        <w:t xml:space="preserve">that had not </w:t>
      </w:r>
      <w:r w:rsidR="00254625" w:rsidRPr="006515F3">
        <w:rPr>
          <w:b/>
          <w:bCs/>
        </w:rPr>
        <w:t>retaliated against</w:t>
      </w:r>
      <w:r w:rsidR="006515F3" w:rsidRPr="006515F3">
        <w:rPr>
          <w:b/>
          <w:bCs/>
        </w:rPr>
        <w:t xml:space="preserve"> US tariffs</w:t>
      </w:r>
      <w:r w:rsidR="006515F3">
        <w:t xml:space="preserve"> </w:t>
      </w:r>
      <w:r>
        <w:t>still stands (</w:t>
      </w:r>
      <w:r w:rsidR="006135A2">
        <w:t>except China</w:t>
      </w:r>
      <w:r>
        <w:t>)</w:t>
      </w:r>
      <w:r w:rsidR="006135A2">
        <w:t xml:space="preserve"> who ha</w:t>
      </w:r>
      <w:r>
        <w:t>ve recently negotiated terms of 30% for most goods</w:t>
      </w:r>
      <w:r w:rsidR="006135A2">
        <w:t xml:space="preserve">. The </w:t>
      </w:r>
      <w:r w:rsidR="006135A2" w:rsidRPr="00D17CAB">
        <w:t>China tariff</w:t>
      </w:r>
      <w:r w:rsidR="006135A2" w:rsidRPr="00CA02A5">
        <w:rPr>
          <w:b/>
          <w:bCs/>
        </w:rPr>
        <w:t xml:space="preserve"> </w:t>
      </w:r>
      <w:r>
        <w:t xml:space="preserve">for small </w:t>
      </w:r>
      <w:r w:rsidRPr="00CA374B">
        <w:t xml:space="preserve">shipments of goods worth </w:t>
      </w:r>
      <w:r>
        <w:t>US</w:t>
      </w:r>
      <w:r w:rsidRPr="00CA374B">
        <w:t>$800 or less, coming in from China from 120% to 54% and slashed the rate from 145% to 30% for packages from commercial carriers.</w:t>
      </w:r>
      <w:r>
        <w:t xml:space="preserve"> China has </w:t>
      </w:r>
      <w:r w:rsidRPr="002D7EED">
        <w:rPr>
          <w:b/>
          <w:bCs/>
        </w:rPr>
        <w:t>rolled back its overall tariffs on US goods to 10%</w:t>
      </w:r>
      <w:r>
        <w:t xml:space="preserve"> for the </w:t>
      </w:r>
      <w:r w:rsidR="00D17CAB">
        <w:t>90-day</w:t>
      </w:r>
      <w:r>
        <w:t xml:space="preserve"> period.</w:t>
      </w:r>
    </w:p>
    <w:p w14:paraId="22F9253E" w14:textId="23EE11C7" w:rsidR="00AB1F56" w:rsidRDefault="006135A2" w:rsidP="00F40119">
      <w:r>
        <w:t>G</w:t>
      </w:r>
      <w:r w:rsidR="004B32E4">
        <w:t>lobal m</w:t>
      </w:r>
      <w:r w:rsidR="00960F40" w:rsidRPr="00960F40">
        <w:t xml:space="preserve">arkets were </w:t>
      </w:r>
      <w:r w:rsidR="001C4A6F">
        <w:t xml:space="preserve">confused to say the least with markets reflecting a </w:t>
      </w:r>
      <w:r w:rsidR="001C4A6F" w:rsidRPr="001C4A6F">
        <w:rPr>
          <w:b/>
          <w:bCs/>
        </w:rPr>
        <w:t>“yo-yo effect”</w:t>
      </w:r>
      <w:r w:rsidR="001C4A6F">
        <w:t xml:space="preserve"> being whipsawed around after each announcement. The start of US c</w:t>
      </w:r>
      <w:r w:rsidR="00960F40">
        <w:t>ompan</w:t>
      </w:r>
      <w:r w:rsidR="00AB1F56">
        <w:t>y reporting season add</w:t>
      </w:r>
      <w:r w:rsidR="004B32E4">
        <w:t xml:space="preserve">ed to the </w:t>
      </w:r>
      <w:r w:rsidR="00AB1F56">
        <w:t xml:space="preserve">volatility. </w:t>
      </w:r>
      <w:r w:rsidR="00D17CAB" w:rsidRPr="00D17CAB">
        <w:t xml:space="preserve">First-quarter S&amp;P 500 earnings </w:t>
      </w:r>
      <w:r w:rsidR="00D17CAB">
        <w:t xml:space="preserve">were </w:t>
      </w:r>
      <w:r w:rsidR="00D17CAB" w:rsidRPr="00D17CAB">
        <w:t>up 13.4% compared to market expectations of 7.2%, according to FactSet</w:t>
      </w:r>
      <w:r w:rsidR="00D17CAB">
        <w:t>. They also stated that o</w:t>
      </w:r>
      <w:r w:rsidR="00D17CAB" w:rsidRPr="00D17CAB">
        <w:t xml:space="preserve">f the 90% of S&amp;P 500 companies that have reported, </w:t>
      </w:r>
      <w:r w:rsidR="00D17CAB" w:rsidRPr="00D17CAB">
        <w:rPr>
          <w:b/>
          <w:bCs/>
        </w:rPr>
        <w:t>78% have beaten consensus earnings expectations</w:t>
      </w:r>
      <w:r w:rsidR="00D17CAB" w:rsidRPr="00D17CAB">
        <w:t>, above the 77% one-year and five-year averages of 77%</w:t>
      </w:r>
      <w:r w:rsidR="00D17CAB">
        <w:t>. The</w:t>
      </w:r>
      <w:r w:rsidR="004B32E4">
        <w:t xml:space="preserve"> Australian company reporting season was subdued with markets impacted by the US volatility.</w:t>
      </w:r>
    </w:p>
    <w:p w14:paraId="4096F786" w14:textId="2684D910" w:rsidR="00AB1F56" w:rsidRPr="00AB1F56" w:rsidRDefault="00AB1F56" w:rsidP="00AB1F56">
      <w:pPr>
        <w:rPr>
          <w:color w:val="auto"/>
        </w:rPr>
      </w:pPr>
      <w:r w:rsidRPr="00AB1F56">
        <w:rPr>
          <w:color w:val="auto"/>
        </w:rPr>
        <w:t>Most investors are still of the opinion that interest rates and inflation are heading lower over the medium to long term, however these short-term adjustments driven by market data a</w:t>
      </w:r>
      <w:r w:rsidR="00170FC0">
        <w:rPr>
          <w:color w:val="auto"/>
        </w:rPr>
        <w:t>s</w:t>
      </w:r>
      <w:r w:rsidRPr="00AB1F56">
        <w:rPr>
          <w:color w:val="auto"/>
        </w:rPr>
        <w:t xml:space="preserve"> the US Federal Reserve (the Fed) </w:t>
      </w:r>
      <w:r w:rsidR="00D17CAB">
        <w:rPr>
          <w:color w:val="auto"/>
        </w:rPr>
        <w:t>ponders the next move after</w:t>
      </w:r>
      <w:r w:rsidRPr="00AB1F56">
        <w:rPr>
          <w:color w:val="auto"/>
        </w:rPr>
        <w:t xml:space="preserve"> inflation </w:t>
      </w:r>
      <w:r w:rsidR="00D17CAB">
        <w:rPr>
          <w:color w:val="auto"/>
        </w:rPr>
        <w:t>printed at 2.3% for April 2025.</w:t>
      </w:r>
    </w:p>
    <w:p w14:paraId="76AE76DC" w14:textId="4787419A" w:rsidR="009A3B4B" w:rsidRDefault="009A3B4B" w:rsidP="009A3B4B">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The Fed left the </w:t>
      </w:r>
      <w:r w:rsidRPr="00613384">
        <w:rPr>
          <w:rFonts w:ascii="Calibri" w:hAnsi="Calibri" w:cs="Calibri"/>
          <w:color w:val="222222"/>
          <w:sz w:val="24"/>
          <w:szCs w:val="24"/>
          <w:shd w:val="clear" w:color="auto" w:fill="FFFFFF"/>
        </w:rPr>
        <w:t xml:space="preserve">target cash rate </w:t>
      </w:r>
      <w:r>
        <w:rPr>
          <w:rFonts w:ascii="Calibri" w:hAnsi="Calibri" w:cs="Calibri"/>
          <w:color w:val="222222"/>
          <w:sz w:val="24"/>
          <w:szCs w:val="24"/>
          <w:shd w:val="clear" w:color="auto" w:fill="FFFFFF"/>
        </w:rPr>
        <w:t>at</w:t>
      </w:r>
      <w:r w:rsidRPr="00EC694E">
        <w:rPr>
          <w:rFonts w:ascii="Calibri" w:hAnsi="Calibri" w:cs="Calibri"/>
          <w:b/>
          <w:bCs/>
          <w:color w:val="222222"/>
          <w:sz w:val="24"/>
          <w:szCs w:val="24"/>
          <w:shd w:val="clear" w:color="auto" w:fill="FFFFFF"/>
        </w:rPr>
        <w:t xml:space="preserve"> 4.</w:t>
      </w:r>
      <w:r>
        <w:rPr>
          <w:rFonts w:ascii="Calibri" w:hAnsi="Calibri" w:cs="Calibri"/>
          <w:b/>
          <w:bCs/>
          <w:color w:val="222222"/>
          <w:sz w:val="24"/>
          <w:szCs w:val="24"/>
          <w:shd w:val="clear" w:color="auto" w:fill="FFFFFF"/>
        </w:rPr>
        <w:t>25</w:t>
      </w:r>
      <w:r w:rsidRPr="00EC694E">
        <w:rPr>
          <w:rFonts w:ascii="Calibri" w:hAnsi="Calibri" w:cs="Calibri"/>
          <w:b/>
          <w:bCs/>
          <w:color w:val="222222"/>
          <w:sz w:val="24"/>
          <w:szCs w:val="24"/>
          <w:shd w:val="clear" w:color="auto" w:fill="FFFFFF"/>
        </w:rPr>
        <w:t>%-4.5</w:t>
      </w:r>
      <w:r>
        <w:rPr>
          <w:rFonts w:ascii="Calibri" w:hAnsi="Calibri" w:cs="Calibri"/>
          <w:b/>
          <w:bCs/>
          <w:color w:val="222222"/>
          <w:sz w:val="24"/>
          <w:szCs w:val="24"/>
          <w:shd w:val="clear" w:color="auto" w:fill="FFFFFF"/>
        </w:rPr>
        <w:t>0</w:t>
      </w:r>
      <w:r w:rsidRPr="00EC694E">
        <w:rPr>
          <w:rFonts w:ascii="Calibri" w:hAnsi="Calibri" w:cs="Calibri"/>
          <w:b/>
          <w:bCs/>
          <w:color w:val="222222"/>
          <w:sz w:val="24"/>
          <w:szCs w:val="24"/>
          <w:shd w:val="clear" w:color="auto" w:fill="FFFFFF"/>
        </w:rPr>
        <w:t>%</w:t>
      </w:r>
      <w:r w:rsidRPr="00613384">
        <w:rPr>
          <w:rFonts w:ascii="Calibri" w:hAnsi="Calibri" w:cs="Calibri"/>
          <w:color w:val="222222"/>
          <w:sz w:val="24"/>
          <w:szCs w:val="24"/>
          <w:shd w:val="clear" w:color="auto" w:fill="FFFFFF"/>
        </w:rPr>
        <w:t xml:space="preserve"> at its meeting held on the </w:t>
      </w:r>
      <w:r w:rsidR="00D17CAB">
        <w:rPr>
          <w:rFonts w:ascii="Calibri" w:hAnsi="Calibri" w:cs="Calibri"/>
          <w:color w:val="222222"/>
          <w:sz w:val="24"/>
          <w:szCs w:val="24"/>
          <w:shd w:val="clear" w:color="auto" w:fill="FFFFFF"/>
        </w:rPr>
        <w:t>6</w:t>
      </w:r>
      <w:r w:rsidR="00D17CAB" w:rsidRPr="00D17CAB">
        <w:rPr>
          <w:rFonts w:ascii="Calibri" w:hAnsi="Calibri" w:cs="Calibri"/>
          <w:color w:val="222222"/>
          <w:sz w:val="24"/>
          <w:szCs w:val="24"/>
          <w:shd w:val="clear" w:color="auto" w:fill="FFFFFF"/>
          <w:vertAlign w:val="superscript"/>
        </w:rPr>
        <w:t>th</w:t>
      </w:r>
      <w:r w:rsidR="00D17CAB">
        <w:rPr>
          <w:rFonts w:ascii="Calibri" w:hAnsi="Calibri" w:cs="Calibri"/>
          <w:color w:val="222222"/>
          <w:sz w:val="24"/>
          <w:szCs w:val="24"/>
          <w:shd w:val="clear" w:color="auto" w:fill="FFFFFF"/>
        </w:rPr>
        <w:t>/7</w:t>
      </w:r>
      <w:r w:rsidR="00D17CAB" w:rsidRPr="00D17CAB">
        <w:rPr>
          <w:rFonts w:ascii="Calibri" w:hAnsi="Calibri" w:cs="Calibri"/>
          <w:color w:val="222222"/>
          <w:sz w:val="24"/>
          <w:szCs w:val="24"/>
          <w:shd w:val="clear" w:color="auto" w:fill="FFFFFF"/>
          <w:vertAlign w:val="superscript"/>
        </w:rPr>
        <w:t>th</w:t>
      </w:r>
      <w:r w:rsidR="00D17CAB">
        <w:rPr>
          <w:rFonts w:ascii="Calibri" w:hAnsi="Calibri" w:cs="Calibri"/>
          <w:color w:val="222222"/>
          <w:sz w:val="24"/>
          <w:szCs w:val="24"/>
          <w:shd w:val="clear" w:color="auto" w:fill="FFFFFF"/>
        </w:rPr>
        <w:t xml:space="preserve"> May</w:t>
      </w:r>
      <w:r>
        <w:rPr>
          <w:rFonts w:ascii="Calibri" w:hAnsi="Calibri" w:cs="Calibri"/>
          <w:color w:val="222222"/>
          <w:sz w:val="24"/>
          <w:szCs w:val="24"/>
          <w:shd w:val="clear" w:color="auto" w:fill="FFFFFF"/>
        </w:rPr>
        <w:t xml:space="preserve"> 2025. The next meeting held on the </w:t>
      </w:r>
      <w:r w:rsidR="00D17CAB" w:rsidRPr="003D2CC1">
        <w:rPr>
          <w:rFonts w:ascii="Calibri" w:hAnsi="Calibri" w:cs="Calibri"/>
          <w:b/>
          <w:bCs/>
          <w:color w:val="222222"/>
          <w:sz w:val="24"/>
          <w:szCs w:val="24"/>
          <w:shd w:val="clear" w:color="auto" w:fill="FFFFFF"/>
        </w:rPr>
        <w:t>17</w:t>
      </w:r>
      <w:r w:rsidRPr="003D2CC1">
        <w:rPr>
          <w:rFonts w:ascii="Calibri" w:hAnsi="Calibri" w:cs="Calibri"/>
          <w:b/>
          <w:bCs/>
          <w:color w:val="222222"/>
          <w:sz w:val="24"/>
          <w:szCs w:val="24"/>
          <w:shd w:val="clear" w:color="auto" w:fill="FFFFFF"/>
          <w:vertAlign w:val="superscript"/>
        </w:rPr>
        <w:t>th</w:t>
      </w:r>
      <w:r w:rsidRPr="001872E4">
        <w:rPr>
          <w:rFonts w:ascii="Calibri" w:hAnsi="Calibri" w:cs="Calibri"/>
          <w:b/>
          <w:bCs/>
          <w:color w:val="222222"/>
          <w:sz w:val="24"/>
          <w:szCs w:val="24"/>
          <w:shd w:val="clear" w:color="auto" w:fill="FFFFFF"/>
        </w:rPr>
        <w:t>/</w:t>
      </w:r>
      <w:r w:rsidR="00D17CAB">
        <w:rPr>
          <w:rFonts w:ascii="Calibri" w:hAnsi="Calibri" w:cs="Calibri"/>
          <w:b/>
          <w:bCs/>
          <w:color w:val="222222"/>
          <w:sz w:val="24"/>
          <w:szCs w:val="24"/>
          <w:shd w:val="clear" w:color="auto" w:fill="FFFFFF"/>
        </w:rPr>
        <w:t>18</w:t>
      </w:r>
      <w:r w:rsidRPr="001872E4">
        <w:rPr>
          <w:rFonts w:ascii="Calibri" w:hAnsi="Calibri" w:cs="Calibri"/>
          <w:b/>
          <w:bCs/>
          <w:color w:val="222222"/>
          <w:sz w:val="24"/>
          <w:szCs w:val="24"/>
          <w:shd w:val="clear" w:color="auto" w:fill="FFFFFF"/>
          <w:vertAlign w:val="superscript"/>
        </w:rPr>
        <w:t>th</w:t>
      </w:r>
      <w:r>
        <w:rPr>
          <w:rFonts w:ascii="Calibri" w:hAnsi="Calibri" w:cs="Calibri"/>
          <w:color w:val="222222"/>
          <w:sz w:val="24"/>
          <w:szCs w:val="24"/>
          <w:shd w:val="clear" w:color="auto" w:fill="FFFFFF"/>
        </w:rPr>
        <w:t xml:space="preserve"> </w:t>
      </w:r>
      <w:r w:rsidR="00D17CAB" w:rsidRPr="00D17CAB">
        <w:rPr>
          <w:rFonts w:ascii="Calibri" w:hAnsi="Calibri" w:cs="Calibri"/>
          <w:b/>
          <w:bCs/>
          <w:color w:val="222222"/>
          <w:sz w:val="24"/>
          <w:szCs w:val="24"/>
          <w:shd w:val="clear" w:color="auto" w:fill="FFFFFF"/>
        </w:rPr>
        <w:t>June</w:t>
      </w:r>
      <w:r w:rsidRPr="005A485F">
        <w:rPr>
          <w:rFonts w:ascii="Calibri" w:hAnsi="Calibri" w:cs="Calibri"/>
          <w:b/>
          <w:bCs/>
          <w:color w:val="222222"/>
          <w:sz w:val="24"/>
          <w:szCs w:val="24"/>
          <w:shd w:val="clear" w:color="auto" w:fill="FFFFFF"/>
        </w:rPr>
        <w:t xml:space="preserve"> 2025</w:t>
      </w:r>
      <w:r>
        <w:rPr>
          <w:rFonts w:ascii="Calibri" w:hAnsi="Calibri" w:cs="Calibri"/>
          <w:color w:val="222222"/>
          <w:sz w:val="24"/>
          <w:szCs w:val="24"/>
          <w:shd w:val="clear" w:color="auto" w:fill="FFFFFF"/>
        </w:rPr>
        <w:t xml:space="preserve">. </w:t>
      </w:r>
      <w:r w:rsidR="003D2CC1">
        <w:rPr>
          <w:rFonts w:ascii="Calibri" w:hAnsi="Calibri" w:cs="Calibri"/>
          <w:color w:val="222222"/>
          <w:sz w:val="24"/>
          <w:szCs w:val="24"/>
          <w:shd w:val="clear" w:color="auto" w:fill="FFFFFF"/>
        </w:rPr>
        <w:t xml:space="preserve">It the market settles down a bit and bonds come back from their highs (down in yield) then perhaps the US Fed may just look to </w:t>
      </w:r>
      <w:r w:rsidR="003D2CC1">
        <w:rPr>
          <w:rFonts w:ascii="Calibri" w:hAnsi="Calibri" w:cs="Calibri"/>
          <w:color w:val="222222"/>
          <w:sz w:val="24"/>
          <w:szCs w:val="24"/>
          <w:shd w:val="clear" w:color="auto" w:fill="FFFFFF"/>
        </w:rPr>
        <w:lastRenderedPageBreak/>
        <w:t>ease again but that is data dependant.</w:t>
      </w:r>
      <w:r>
        <w:rPr>
          <w:rFonts w:ascii="Calibri" w:hAnsi="Calibri" w:cs="Calibri"/>
          <w:color w:val="222222"/>
          <w:sz w:val="24"/>
          <w:szCs w:val="24"/>
          <w:shd w:val="clear" w:color="auto" w:fill="FFFFFF"/>
        </w:rPr>
        <w:t xml:space="preserve"> Regarding treasury securities and agency debt holdings: </w:t>
      </w:r>
    </w:p>
    <w:p w14:paraId="1E12D3E1" w14:textId="4E15C7A4" w:rsidR="009A3B4B" w:rsidRPr="005767D6" w:rsidRDefault="009A3B4B" w:rsidP="009A3B4B">
      <w:pPr>
        <w:ind w:left="720"/>
        <w:rPr>
          <w:rFonts w:ascii="Calibri" w:hAnsi="Calibri" w:cs="Calibri"/>
          <w:i/>
          <w:iCs/>
          <w:color w:val="222222"/>
          <w:sz w:val="24"/>
          <w:szCs w:val="24"/>
          <w:shd w:val="clear" w:color="auto" w:fill="FFFFFF"/>
        </w:rPr>
      </w:pPr>
      <w:r w:rsidRPr="005767D6">
        <w:rPr>
          <w:rFonts w:ascii="Calibri" w:hAnsi="Calibri" w:cs="Calibri"/>
          <w:i/>
          <w:iCs/>
          <w:color w:val="222222"/>
          <w:sz w:val="24"/>
          <w:szCs w:val="24"/>
          <w:shd w:val="clear" w:color="auto" w:fill="FFFFFF"/>
        </w:rPr>
        <w:t>“</w:t>
      </w:r>
      <w:r w:rsidR="00E456BE" w:rsidRPr="00E456BE">
        <w:rPr>
          <w:rFonts w:ascii="Calibri" w:hAnsi="Calibri" w:cs="Calibri"/>
          <w:i/>
          <w:iCs/>
          <w:color w:val="222222"/>
          <w:sz w:val="24"/>
          <w:szCs w:val="24"/>
          <w:shd w:val="clear" w:color="auto" w:fill="FFFFFF"/>
        </w:rPr>
        <w:t>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The Committee’s assessments will take (more) -2- into account a wide range of information, including readings on labor market conditions, inflation pressures and inflation expectations, and financial and international developments.</w:t>
      </w:r>
      <w:r>
        <w:rPr>
          <w:rFonts w:ascii="Calibri" w:hAnsi="Calibri" w:cs="Calibri"/>
          <w:i/>
          <w:iCs/>
          <w:color w:val="222222"/>
          <w:sz w:val="24"/>
          <w:szCs w:val="24"/>
          <w:shd w:val="clear" w:color="auto" w:fill="FFFFFF"/>
        </w:rPr>
        <w:t>”</w:t>
      </w:r>
      <w:r w:rsidRPr="001872E4">
        <w:rPr>
          <w:rFonts w:ascii="Calibri" w:hAnsi="Calibri" w:cs="Calibri"/>
          <w:i/>
          <w:iCs/>
          <w:color w:val="222222"/>
          <w:sz w:val="24"/>
          <w:szCs w:val="24"/>
          <w:shd w:val="clear" w:color="auto" w:fill="FFFFFF"/>
        </w:rPr>
        <w:t xml:space="preserve">. </w:t>
      </w:r>
      <w:r w:rsidRPr="005767D6">
        <w:rPr>
          <w:rFonts w:ascii="Calibri" w:hAnsi="Calibri" w:cs="Calibri"/>
          <w:i/>
          <w:iCs/>
          <w:color w:val="222222"/>
          <w:sz w:val="24"/>
          <w:szCs w:val="24"/>
          <w:u w:val="single"/>
          <w:shd w:val="clear" w:color="auto" w:fill="FFFFFF"/>
        </w:rPr>
        <w:t>Source:</w:t>
      </w:r>
      <w:r>
        <w:rPr>
          <w:rFonts w:ascii="Calibri" w:hAnsi="Calibri" w:cs="Calibri"/>
          <w:i/>
          <w:iCs/>
          <w:color w:val="222222"/>
          <w:sz w:val="24"/>
          <w:szCs w:val="24"/>
          <w:shd w:val="clear" w:color="auto" w:fill="FFFFFF"/>
        </w:rPr>
        <w:t xml:space="preserve"> The </w:t>
      </w:r>
      <w:r w:rsidRPr="005767D6">
        <w:rPr>
          <w:rFonts w:ascii="Calibri" w:hAnsi="Calibri" w:cs="Calibri"/>
          <w:i/>
          <w:iCs/>
          <w:color w:val="222222"/>
          <w:sz w:val="24"/>
          <w:szCs w:val="24"/>
          <w:shd w:val="clear" w:color="auto" w:fill="FFFFFF"/>
        </w:rPr>
        <w:t>Board of Governors of the Federal Reserve System</w:t>
      </w:r>
      <w:r>
        <w:rPr>
          <w:rFonts w:ascii="Calibri" w:hAnsi="Calibri" w:cs="Calibri"/>
          <w:i/>
          <w:iCs/>
          <w:color w:val="222222"/>
          <w:sz w:val="24"/>
          <w:szCs w:val="24"/>
          <w:shd w:val="clear" w:color="auto" w:fill="FFFFFF"/>
        </w:rPr>
        <w:t xml:space="preserve">, Chair, Jerome Powell, </w:t>
      </w:r>
      <w:r w:rsidR="00E456BE">
        <w:rPr>
          <w:rFonts w:ascii="Calibri" w:hAnsi="Calibri" w:cs="Calibri"/>
          <w:i/>
          <w:iCs/>
          <w:color w:val="222222"/>
          <w:sz w:val="24"/>
          <w:szCs w:val="24"/>
          <w:shd w:val="clear" w:color="auto" w:fill="FFFFFF"/>
        </w:rPr>
        <w:t>7</w:t>
      </w:r>
      <w:r w:rsidRPr="005767D6">
        <w:rPr>
          <w:rFonts w:ascii="Calibri" w:hAnsi="Calibri" w:cs="Calibri"/>
          <w:i/>
          <w:iCs/>
          <w:color w:val="222222"/>
          <w:sz w:val="24"/>
          <w:szCs w:val="24"/>
          <w:shd w:val="clear" w:color="auto" w:fill="FFFFFF"/>
          <w:vertAlign w:val="superscript"/>
        </w:rPr>
        <w:t>th</w:t>
      </w:r>
      <w:r>
        <w:rPr>
          <w:rFonts w:ascii="Calibri" w:hAnsi="Calibri" w:cs="Calibri"/>
          <w:i/>
          <w:iCs/>
          <w:color w:val="222222"/>
          <w:sz w:val="24"/>
          <w:szCs w:val="24"/>
          <w:shd w:val="clear" w:color="auto" w:fill="FFFFFF"/>
        </w:rPr>
        <w:t xml:space="preserve"> Ma</w:t>
      </w:r>
      <w:r w:rsidR="00E456BE">
        <w:rPr>
          <w:rFonts w:ascii="Calibri" w:hAnsi="Calibri" w:cs="Calibri"/>
          <w:i/>
          <w:iCs/>
          <w:color w:val="222222"/>
          <w:sz w:val="24"/>
          <w:szCs w:val="24"/>
          <w:shd w:val="clear" w:color="auto" w:fill="FFFFFF"/>
        </w:rPr>
        <w:t>y</w:t>
      </w:r>
      <w:r>
        <w:rPr>
          <w:rFonts w:ascii="Calibri" w:hAnsi="Calibri" w:cs="Calibri"/>
          <w:i/>
          <w:iCs/>
          <w:color w:val="222222"/>
          <w:sz w:val="24"/>
          <w:szCs w:val="24"/>
          <w:shd w:val="clear" w:color="auto" w:fill="FFFFFF"/>
        </w:rPr>
        <w:t xml:space="preserve"> 2025.</w:t>
      </w:r>
    </w:p>
    <w:p w14:paraId="53571F40" w14:textId="72859AF8" w:rsidR="009A3B4B" w:rsidRDefault="009A3B4B" w:rsidP="009A3B4B">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Inflation prints have revealed the </w:t>
      </w:r>
      <w:r w:rsidRPr="00555922">
        <w:rPr>
          <w:rFonts w:ascii="Calibri" w:hAnsi="Calibri" w:cs="Calibri"/>
          <w:b/>
          <w:bCs/>
          <w:color w:val="222222"/>
          <w:sz w:val="24"/>
          <w:szCs w:val="24"/>
          <w:shd w:val="clear" w:color="auto" w:fill="FFFFFF"/>
        </w:rPr>
        <w:t xml:space="preserve">US Inflation YOY </w:t>
      </w:r>
      <w:r>
        <w:rPr>
          <w:rFonts w:ascii="Calibri" w:hAnsi="Calibri" w:cs="Calibri"/>
          <w:b/>
          <w:bCs/>
          <w:color w:val="222222"/>
          <w:sz w:val="24"/>
          <w:szCs w:val="24"/>
          <w:shd w:val="clear" w:color="auto" w:fill="FFFFFF"/>
        </w:rPr>
        <w:t>eased to 2.</w:t>
      </w:r>
      <w:r w:rsidR="00D57D5E">
        <w:rPr>
          <w:rFonts w:ascii="Calibri" w:hAnsi="Calibri" w:cs="Calibri"/>
          <w:b/>
          <w:bCs/>
          <w:color w:val="222222"/>
          <w:sz w:val="24"/>
          <w:szCs w:val="24"/>
          <w:shd w:val="clear" w:color="auto" w:fill="FFFFFF"/>
        </w:rPr>
        <w:t>3</w:t>
      </w:r>
      <w:r>
        <w:rPr>
          <w:rFonts w:ascii="Calibri" w:hAnsi="Calibri" w:cs="Calibri"/>
          <w:b/>
          <w:bCs/>
          <w:color w:val="222222"/>
          <w:sz w:val="24"/>
          <w:szCs w:val="24"/>
          <w:shd w:val="clear" w:color="auto" w:fill="FFFFFF"/>
        </w:rPr>
        <w:t>%</w:t>
      </w:r>
      <w:r>
        <w:rPr>
          <w:rFonts w:ascii="Calibri" w:hAnsi="Calibri" w:cs="Calibri"/>
          <w:color w:val="222222"/>
          <w:sz w:val="24"/>
          <w:szCs w:val="24"/>
          <w:shd w:val="clear" w:color="auto" w:fill="FFFFFF"/>
        </w:rPr>
        <w:t xml:space="preserve"> in </w:t>
      </w:r>
      <w:r w:rsidR="00D57D5E">
        <w:rPr>
          <w:rFonts w:ascii="Calibri" w:hAnsi="Calibri" w:cs="Calibri"/>
          <w:color w:val="222222"/>
          <w:sz w:val="24"/>
          <w:szCs w:val="24"/>
          <w:shd w:val="clear" w:color="auto" w:fill="FFFFFF"/>
        </w:rPr>
        <w:t>April</w:t>
      </w:r>
      <w:r>
        <w:rPr>
          <w:rFonts w:ascii="Calibri" w:hAnsi="Calibri" w:cs="Calibri"/>
          <w:color w:val="222222"/>
          <w:sz w:val="24"/>
          <w:szCs w:val="24"/>
          <w:shd w:val="clear" w:color="auto" w:fill="FFFFFF"/>
        </w:rPr>
        <w:t xml:space="preserve"> 2025 from 2.</w:t>
      </w:r>
      <w:r w:rsidR="00D57D5E">
        <w:rPr>
          <w:rFonts w:ascii="Calibri" w:hAnsi="Calibri" w:cs="Calibri"/>
          <w:color w:val="222222"/>
          <w:sz w:val="24"/>
          <w:szCs w:val="24"/>
          <w:shd w:val="clear" w:color="auto" w:fill="FFFFFF"/>
        </w:rPr>
        <w:t>4</w:t>
      </w:r>
      <w:r>
        <w:rPr>
          <w:rFonts w:ascii="Calibri" w:hAnsi="Calibri" w:cs="Calibri"/>
          <w:color w:val="222222"/>
          <w:sz w:val="24"/>
          <w:szCs w:val="24"/>
          <w:shd w:val="clear" w:color="auto" w:fill="FFFFFF"/>
        </w:rPr>
        <w:t xml:space="preserve">% in </w:t>
      </w:r>
      <w:r w:rsidR="00D57D5E">
        <w:rPr>
          <w:rFonts w:ascii="Calibri" w:hAnsi="Calibri" w:cs="Calibri"/>
          <w:color w:val="222222"/>
          <w:sz w:val="24"/>
          <w:szCs w:val="24"/>
          <w:shd w:val="clear" w:color="auto" w:fill="FFFFFF"/>
        </w:rPr>
        <w:t>March</w:t>
      </w:r>
      <w:r>
        <w:rPr>
          <w:rFonts w:ascii="Calibri" w:hAnsi="Calibri" w:cs="Calibri"/>
          <w:color w:val="222222"/>
          <w:sz w:val="24"/>
          <w:szCs w:val="24"/>
          <w:shd w:val="clear" w:color="auto" w:fill="FFFFFF"/>
        </w:rPr>
        <w:t xml:space="preserve"> 2025. US Retail Sales MOM increased by (+</w:t>
      </w:r>
      <w:r w:rsidR="00D57D5E">
        <w:rPr>
          <w:rFonts w:ascii="Calibri" w:hAnsi="Calibri" w:cs="Calibri"/>
          <w:color w:val="222222"/>
          <w:sz w:val="24"/>
          <w:szCs w:val="24"/>
          <w:shd w:val="clear" w:color="auto" w:fill="FFFFFF"/>
        </w:rPr>
        <w:t>1.4</w:t>
      </w:r>
      <w:r w:rsidRPr="00804A42">
        <w:rPr>
          <w:rFonts w:ascii="Calibri" w:hAnsi="Calibri" w:cs="Calibri"/>
          <w:b/>
          <w:bCs/>
          <w:color w:val="222222"/>
          <w:sz w:val="24"/>
          <w:szCs w:val="24"/>
          <w:shd w:val="clear" w:color="auto" w:fill="FFFFFF"/>
        </w:rPr>
        <w:t>%</w:t>
      </w:r>
      <w:r>
        <w:rPr>
          <w:rFonts w:ascii="Calibri" w:hAnsi="Calibri" w:cs="Calibri"/>
          <w:b/>
          <w:bCs/>
          <w:color w:val="222222"/>
          <w:sz w:val="24"/>
          <w:szCs w:val="24"/>
          <w:shd w:val="clear" w:color="auto" w:fill="FFFFFF"/>
        </w:rPr>
        <w:t>)</w:t>
      </w:r>
      <w:r>
        <w:rPr>
          <w:rFonts w:ascii="Calibri" w:hAnsi="Calibri" w:cs="Calibri"/>
          <w:color w:val="222222"/>
          <w:sz w:val="24"/>
          <w:szCs w:val="24"/>
          <w:shd w:val="clear" w:color="auto" w:fill="FFFFFF"/>
        </w:rPr>
        <w:t xml:space="preserve"> in </w:t>
      </w:r>
      <w:r w:rsidR="00D57D5E">
        <w:rPr>
          <w:rFonts w:ascii="Calibri" w:hAnsi="Calibri" w:cs="Calibri"/>
          <w:color w:val="222222"/>
          <w:sz w:val="24"/>
          <w:szCs w:val="24"/>
          <w:shd w:val="clear" w:color="auto" w:fill="FFFFFF"/>
        </w:rPr>
        <w:t>April</w:t>
      </w:r>
      <w:r>
        <w:rPr>
          <w:rFonts w:ascii="Calibri" w:hAnsi="Calibri" w:cs="Calibri"/>
          <w:color w:val="222222"/>
          <w:sz w:val="24"/>
          <w:szCs w:val="24"/>
          <w:shd w:val="clear" w:color="auto" w:fill="FFFFFF"/>
        </w:rPr>
        <w:t xml:space="preserve"> 2025 up from </w:t>
      </w:r>
      <w:r w:rsidR="00D57D5E">
        <w:rPr>
          <w:rFonts w:ascii="Calibri" w:hAnsi="Calibri" w:cs="Calibri"/>
          <w:color w:val="222222"/>
          <w:sz w:val="24"/>
          <w:szCs w:val="24"/>
          <w:shd w:val="clear" w:color="auto" w:fill="FFFFFF"/>
        </w:rPr>
        <w:t>unchanged</w:t>
      </w:r>
      <w:r>
        <w:rPr>
          <w:rFonts w:ascii="Calibri" w:hAnsi="Calibri" w:cs="Calibri"/>
          <w:color w:val="222222"/>
          <w:sz w:val="24"/>
          <w:szCs w:val="24"/>
          <w:shd w:val="clear" w:color="auto" w:fill="FFFFFF"/>
        </w:rPr>
        <w:t xml:space="preserve"> (</w:t>
      </w:r>
      <w:r w:rsidR="00D57D5E">
        <w:rPr>
          <w:rFonts w:ascii="Calibri" w:hAnsi="Calibri" w:cs="Calibri"/>
          <w:color w:val="222222"/>
          <w:sz w:val="24"/>
          <w:szCs w:val="24"/>
          <w:shd w:val="clear" w:color="auto" w:fill="FFFFFF"/>
        </w:rPr>
        <w:t>+0</w:t>
      </w:r>
      <w:r>
        <w:rPr>
          <w:rFonts w:ascii="Calibri" w:hAnsi="Calibri" w:cs="Calibri"/>
          <w:color w:val="222222"/>
          <w:sz w:val="24"/>
          <w:szCs w:val="24"/>
          <w:shd w:val="clear" w:color="auto" w:fill="FFFFFF"/>
        </w:rPr>
        <w:t xml:space="preserve">.2%) in </w:t>
      </w:r>
      <w:r w:rsidR="00D57D5E">
        <w:rPr>
          <w:rFonts w:ascii="Calibri" w:hAnsi="Calibri" w:cs="Calibri"/>
          <w:color w:val="222222"/>
          <w:sz w:val="24"/>
          <w:szCs w:val="24"/>
          <w:shd w:val="clear" w:color="auto" w:fill="FFFFFF"/>
        </w:rPr>
        <w:t>February</w:t>
      </w:r>
      <w:r>
        <w:rPr>
          <w:rFonts w:ascii="Calibri" w:hAnsi="Calibri" w:cs="Calibri"/>
          <w:color w:val="222222"/>
          <w:sz w:val="24"/>
          <w:szCs w:val="24"/>
          <w:shd w:val="clear" w:color="auto" w:fill="FFFFFF"/>
        </w:rPr>
        <w:t xml:space="preserve"> 2025.</w:t>
      </w:r>
    </w:p>
    <w:p w14:paraId="56390823" w14:textId="5DDD693F" w:rsidR="00F67D7A" w:rsidRPr="00F67D7A" w:rsidRDefault="00F67D7A" w:rsidP="00A352A1">
      <w:pPr>
        <w:rPr>
          <w:b/>
          <w:bCs/>
        </w:rPr>
      </w:pPr>
      <w:r w:rsidRPr="00F67D7A">
        <w:rPr>
          <w:b/>
          <w:bCs/>
        </w:rPr>
        <w:t>Domestic Markets</w:t>
      </w:r>
    </w:p>
    <w:p w14:paraId="468B95DB" w14:textId="3C28CC75" w:rsidR="000A08BF" w:rsidRDefault="00EF1357" w:rsidP="00A352A1">
      <w:r>
        <w:t>For Australia, t</w:t>
      </w:r>
      <w:r w:rsidR="00A352A1">
        <w:t xml:space="preserve">he latest inflation prints for (year-on-year) </w:t>
      </w:r>
      <w:r w:rsidR="002D4FBF">
        <w:t>first</w:t>
      </w:r>
      <w:r w:rsidR="00A352A1">
        <w:t xml:space="preserve"> quarter of 202</w:t>
      </w:r>
      <w:r w:rsidR="002D4FBF">
        <w:t>5</w:t>
      </w:r>
      <w:r w:rsidR="00A352A1">
        <w:t xml:space="preserve"> </w:t>
      </w:r>
      <w:r w:rsidR="00A352A1" w:rsidRPr="00024249">
        <w:rPr>
          <w:b/>
          <w:bCs/>
        </w:rPr>
        <w:t xml:space="preserve">was </w:t>
      </w:r>
      <w:r>
        <w:rPr>
          <w:b/>
          <w:bCs/>
        </w:rPr>
        <w:t>2</w:t>
      </w:r>
      <w:r w:rsidR="00A352A1" w:rsidRPr="00024249">
        <w:rPr>
          <w:b/>
          <w:bCs/>
        </w:rPr>
        <w:t>.</w:t>
      </w:r>
      <w:r w:rsidR="00AB1F56">
        <w:rPr>
          <w:b/>
          <w:bCs/>
        </w:rPr>
        <w:t>4</w:t>
      </w:r>
      <w:r w:rsidR="00A352A1" w:rsidRPr="00024249">
        <w:rPr>
          <w:b/>
          <w:bCs/>
        </w:rPr>
        <w:t>%</w:t>
      </w:r>
      <w:r w:rsidR="00A352A1">
        <w:t xml:space="preserve"> which was </w:t>
      </w:r>
      <w:r w:rsidR="002D4FBF">
        <w:t xml:space="preserve">unchanged from </w:t>
      </w:r>
      <w:r w:rsidR="00A352A1">
        <w:t xml:space="preserve">the </w:t>
      </w:r>
      <w:r w:rsidR="002D4FBF">
        <w:t>fourth</w:t>
      </w:r>
      <w:r w:rsidR="00A352A1">
        <w:t xml:space="preserve"> quarter of 2024</w:t>
      </w:r>
      <w:r w:rsidR="00B6680A">
        <w:t>.</w:t>
      </w:r>
      <w:r w:rsidR="00A352A1">
        <w:t xml:space="preserve"> </w:t>
      </w:r>
      <w:r w:rsidR="00B6680A">
        <w:t xml:space="preserve">The market awaits the next RBA board meeting, which is due </w:t>
      </w:r>
      <w:r w:rsidR="00897EFF">
        <w:t>on the</w:t>
      </w:r>
      <w:r w:rsidR="00B6680A">
        <w:t xml:space="preserve"> </w:t>
      </w:r>
      <w:r w:rsidR="000A08BF" w:rsidRPr="000A08BF">
        <w:rPr>
          <w:b/>
          <w:bCs/>
        </w:rPr>
        <w:t>19/20</w:t>
      </w:r>
      <w:r w:rsidR="000A08BF" w:rsidRPr="000A08BF">
        <w:rPr>
          <w:b/>
          <w:bCs/>
          <w:vertAlign w:val="superscript"/>
        </w:rPr>
        <w:t>th</w:t>
      </w:r>
      <w:r w:rsidR="000A08BF" w:rsidRPr="000A08BF">
        <w:rPr>
          <w:b/>
          <w:bCs/>
        </w:rPr>
        <w:t xml:space="preserve"> May</w:t>
      </w:r>
      <w:r w:rsidR="00B6680A" w:rsidRPr="000A08BF">
        <w:rPr>
          <w:b/>
          <w:bCs/>
        </w:rPr>
        <w:t xml:space="preserve"> 2025</w:t>
      </w:r>
      <w:r w:rsidR="00B6680A">
        <w:t xml:space="preserve">. </w:t>
      </w:r>
      <w:r w:rsidR="000A08BF">
        <w:t xml:space="preserve">Pressure will be on for another interest rate </w:t>
      </w:r>
      <w:r w:rsidR="00F67D7A">
        <w:t>move; however,</w:t>
      </w:r>
      <w:r w:rsidR="000A08BF">
        <w:t xml:space="preserve"> </w:t>
      </w:r>
      <w:r w:rsidR="00F67D7A">
        <w:t>the next round of economic data will determine what direction the RBA may take</w:t>
      </w:r>
      <w:r w:rsidR="000A08BF">
        <w:t>.</w:t>
      </w:r>
      <w:r w:rsidR="000A08BF" w:rsidRPr="000A08BF">
        <w:t xml:space="preserve"> </w:t>
      </w:r>
    </w:p>
    <w:p w14:paraId="4FB7283A" w14:textId="5EAE4B9A" w:rsidR="00502D7A" w:rsidRDefault="000A08BF" w:rsidP="00A352A1">
      <w:r>
        <w:t xml:space="preserve">The </w:t>
      </w:r>
      <w:r w:rsidRPr="00D57D5E">
        <w:t>Australian Federal election held on the 3</w:t>
      </w:r>
      <w:r w:rsidRPr="00D57D5E">
        <w:rPr>
          <w:vertAlign w:val="superscript"/>
        </w:rPr>
        <w:t>rd</w:t>
      </w:r>
      <w:r w:rsidRPr="00D57D5E">
        <w:t xml:space="preserve"> May 2025</w:t>
      </w:r>
      <w:r w:rsidR="00D57D5E" w:rsidRPr="00D57D5E">
        <w:t xml:space="preserve"> resulted in a win for the</w:t>
      </w:r>
      <w:r w:rsidR="00D57D5E">
        <w:rPr>
          <w:b/>
          <w:bCs/>
        </w:rPr>
        <w:t xml:space="preserve"> Australian Labor Party in a landslide victory</w:t>
      </w:r>
      <w:r>
        <w:t>.</w:t>
      </w:r>
      <w:r w:rsidR="00D57D5E">
        <w:t xml:space="preserve"> The market took this in its stride.</w:t>
      </w:r>
    </w:p>
    <w:p w14:paraId="31DAAEE4" w14:textId="6E37A917" w:rsidR="00F67D7A" w:rsidRDefault="00806607" w:rsidP="00A352A1">
      <w:pPr>
        <w:spacing w:before="120"/>
      </w:pPr>
      <w:r>
        <w:t>Despite</w:t>
      </w:r>
      <w:r w:rsidR="00741B8E">
        <w:t xml:space="preserve"> more supply coming onto the housing market over </w:t>
      </w:r>
      <w:r>
        <w:t>March</w:t>
      </w:r>
      <w:r w:rsidR="00741B8E">
        <w:t xml:space="preserve"> and </w:t>
      </w:r>
      <w:r>
        <w:t>April</w:t>
      </w:r>
      <w:r w:rsidR="00741B8E">
        <w:t xml:space="preserve"> 2025, t</w:t>
      </w:r>
      <w:r w:rsidR="00A352A1">
        <w:t xml:space="preserve">he domestic house prices </w:t>
      </w:r>
      <w:r>
        <w:t>held their ground</w:t>
      </w:r>
      <w:r w:rsidR="00210AED">
        <w:t xml:space="preserve"> </w:t>
      </w:r>
      <w:r w:rsidR="00F67D7A">
        <w:t>however, the investment market volatility has led to recession talk and potentially an interest rate cut has buoyed house prices</w:t>
      </w:r>
      <w:r w:rsidR="00210AED">
        <w:t xml:space="preserve">. </w:t>
      </w:r>
    </w:p>
    <w:p w14:paraId="13AD9698" w14:textId="63619448" w:rsidR="00A352A1" w:rsidRDefault="00F67D7A" w:rsidP="00A352A1">
      <w:pPr>
        <w:spacing w:before="120"/>
      </w:pPr>
      <w:r>
        <w:t xml:space="preserve">The first half of </w:t>
      </w:r>
      <w:r w:rsidR="00210AED">
        <w:t xml:space="preserve">2025 </w:t>
      </w:r>
      <w:r w:rsidR="00A352A1">
        <w:t xml:space="preserve">will be </w:t>
      </w:r>
      <w:r w:rsidR="003006BF">
        <w:t>challenging; however,</w:t>
      </w:r>
      <w:r w:rsidR="00A352A1">
        <w:t xml:space="preserve"> </w:t>
      </w:r>
      <w:r w:rsidR="00A352A1" w:rsidRPr="00EF169D">
        <w:rPr>
          <w:b/>
          <w:bCs/>
        </w:rPr>
        <w:t xml:space="preserve">the broader economy </w:t>
      </w:r>
      <w:r w:rsidR="00584C81">
        <w:rPr>
          <w:b/>
          <w:bCs/>
        </w:rPr>
        <w:t>is</w:t>
      </w:r>
      <w:r w:rsidR="00A352A1" w:rsidRPr="00EF169D">
        <w:rPr>
          <w:b/>
          <w:bCs/>
        </w:rPr>
        <w:t xml:space="preserve"> weathering the storm well </w:t>
      </w:r>
      <w:r w:rsidR="00A352A1">
        <w:t xml:space="preserve">given the mixed support from </w:t>
      </w:r>
      <w:r>
        <w:t>moderating</w:t>
      </w:r>
      <w:r w:rsidR="00A352A1">
        <w:t xml:space="preserve"> immigration levels and the st</w:t>
      </w:r>
      <w:r>
        <w:t>able</w:t>
      </w:r>
      <w:r w:rsidR="00A352A1">
        <w:t xml:space="preserve"> level of employment with unemployment </w:t>
      </w:r>
      <w:r w:rsidR="00806607">
        <w:t>unchanged at</w:t>
      </w:r>
      <w:r w:rsidR="00363E96">
        <w:t xml:space="preserve"> </w:t>
      </w:r>
      <w:r w:rsidR="008E4335">
        <w:t>4.</w:t>
      </w:r>
      <w:r w:rsidR="00806607">
        <w:t>1</w:t>
      </w:r>
      <w:r w:rsidR="00363E96">
        <w:t xml:space="preserve">% in </w:t>
      </w:r>
      <w:r w:rsidR="00806607">
        <w:t>April</w:t>
      </w:r>
      <w:r w:rsidR="00363E96">
        <w:t xml:space="preserve"> 202</w:t>
      </w:r>
      <w:r w:rsidR="00741B8E">
        <w:t>5</w:t>
      </w:r>
      <w:r w:rsidR="00806607">
        <w:t>.</w:t>
      </w:r>
    </w:p>
    <w:p w14:paraId="2DD140B5" w14:textId="77777777" w:rsidR="00B51B45" w:rsidRDefault="00B51B45" w:rsidP="00B51B45">
      <w:pPr>
        <w:rPr>
          <w:rFonts w:ascii="Calibri" w:hAnsi="Calibri" w:cs="Calibri"/>
          <w:color w:val="222222"/>
          <w:sz w:val="24"/>
          <w:szCs w:val="24"/>
          <w:shd w:val="clear" w:color="auto" w:fill="FFFFFF"/>
        </w:rPr>
      </w:pPr>
      <w:r w:rsidRPr="005B49AF">
        <w:rPr>
          <w:rFonts w:ascii="Calibri" w:hAnsi="Calibri" w:cs="Calibri"/>
          <w:color w:val="222222"/>
          <w:sz w:val="24"/>
          <w:szCs w:val="24"/>
          <w:shd w:val="clear" w:color="auto" w:fill="FFFFFF"/>
        </w:rPr>
        <w:t xml:space="preserve">The RBA </w:t>
      </w:r>
      <w:r>
        <w:rPr>
          <w:rFonts w:ascii="Calibri" w:hAnsi="Calibri" w:cs="Calibri"/>
          <w:color w:val="222222"/>
          <w:sz w:val="24"/>
          <w:szCs w:val="24"/>
          <w:shd w:val="clear" w:color="auto" w:fill="FFFFFF"/>
        </w:rPr>
        <w:t>decided to leave the target cash rate at</w:t>
      </w:r>
      <w:r w:rsidRPr="00F07CCB">
        <w:rPr>
          <w:rFonts w:ascii="Calibri" w:hAnsi="Calibri" w:cs="Calibri"/>
          <w:b/>
          <w:bCs/>
          <w:color w:val="222222"/>
          <w:sz w:val="24"/>
          <w:szCs w:val="24"/>
          <w:shd w:val="clear" w:color="auto" w:fill="FFFFFF"/>
        </w:rPr>
        <w:t xml:space="preserve"> 4.</w:t>
      </w:r>
      <w:r>
        <w:rPr>
          <w:rFonts w:ascii="Calibri" w:hAnsi="Calibri" w:cs="Calibri"/>
          <w:b/>
          <w:bCs/>
          <w:color w:val="222222"/>
          <w:sz w:val="24"/>
          <w:szCs w:val="24"/>
          <w:shd w:val="clear" w:color="auto" w:fill="FFFFFF"/>
        </w:rPr>
        <w:t>10</w:t>
      </w:r>
      <w:r w:rsidRPr="00F07CCB">
        <w:rPr>
          <w:rFonts w:ascii="Calibri" w:hAnsi="Calibri" w:cs="Calibri"/>
          <w:b/>
          <w:bCs/>
          <w:color w:val="222222"/>
          <w:sz w:val="24"/>
          <w:szCs w:val="24"/>
          <w:shd w:val="clear" w:color="auto" w:fill="FFFFFF"/>
        </w:rPr>
        <w:t>%</w:t>
      </w:r>
      <w:r w:rsidRPr="005B49AF">
        <w:rPr>
          <w:rFonts w:ascii="Calibri" w:hAnsi="Calibri" w:cs="Calibri"/>
          <w:color w:val="222222"/>
          <w:sz w:val="24"/>
          <w:szCs w:val="24"/>
          <w:shd w:val="clear" w:color="auto" w:fill="FFFFFF"/>
        </w:rPr>
        <w:t xml:space="preserve"> following the </w:t>
      </w:r>
      <w:r>
        <w:rPr>
          <w:rFonts w:ascii="Calibri" w:hAnsi="Calibri" w:cs="Calibri"/>
          <w:color w:val="222222"/>
          <w:sz w:val="24"/>
          <w:szCs w:val="24"/>
          <w:shd w:val="clear" w:color="auto" w:fill="FFFFFF"/>
        </w:rPr>
        <w:t>1</w:t>
      </w:r>
      <w:r w:rsidRPr="000C373D">
        <w:rPr>
          <w:rFonts w:ascii="Calibri" w:hAnsi="Calibri" w:cs="Calibri"/>
          <w:color w:val="222222"/>
          <w:sz w:val="24"/>
          <w:szCs w:val="24"/>
          <w:shd w:val="clear" w:color="auto" w:fill="FFFFFF"/>
          <w:vertAlign w:val="superscript"/>
        </w:rPr>
        <w:t>st of</w:t>
      </w:r>
      <w:r>
        <w:rPr>
          <w:rFonts w:ascii="Calibri" w:hAnsi="Calibri" w:cs="Calibri"/>
          <w:color w:val="222222"/>
          <w:sz w:val="24"/>
          <w:szCs w:val="24"/>
          <w:shd w:val="clear" w:color="auto" w:fill="FFFFFF"/>
        </w:rPr>
        <w:t xml:space="preserve"> April</w:t>
      </w:r>
      <w:r w:rsidRPr="005B49AF">
        <w:rPr>
          <w:rFonts w:ascii="Calibri" w:hAnsi="Calibri" w:cs="Calibri"/>
          <w:color w:val="222222"/>
          <w:sz w:val="24"/>
          <w:szCs w:val="24"/>
          <w:shd w:val="clear" w:color="auto" w:fill="FFFFFF"/>
        </w:rPr>
        <w:t xml:space="preserve"> 202</w:t>
      </w:r>
      <w:r>
        <w:rPr>
          <w:rFonts w:ascii="Calibri" w:hAnsi="Calibri" w:cs="Calibri"/>
          <w:color w:val="222222"/>
          <w:sz w:val="24"/>
          <w:szCs w:val="24"/>
          <w:shd w:val="clear" w:color="auto" w:fill="FFFFFF"/>
        </w:rPr>
        <w:t>5</w:t>
      </w:r>
      <w:r w:rsidRPr="005B49AF">
        <w:rPr>
          <w:rFonts w:ascii="Calibri" w:hAnsi="Calibri" w:cs="Calibri"/>
          <w:color w:val="222222"/>
          <w:sz w:val="24"/>
          <w:szCs w:val="24"/>
          <w:shd w:val="clear" w:color="auto" w:fill="FFFFFF"/>
        </w:rPr>
        <w:t xml:space="preserve"> board meeting</w:t>
      </w:r>
      <w:r>
        <w:rPr>
          <w:rFonts w:ascii="Calibri" w:hAnsi="Calibri" w:cs="Calibri"/>
          <w:color w:val="222222"/>
          <w:sz w:val="24"/>
          <w:szCs w:val="24"/>
          <w:shd w:val="clear" w:color="auto" w:fill="FFFFFF"/>
        </w:rPr>
        <w:t xml:space="preserve"> noting that the outlook remains uncertain.</w:t>
      </w:r>
    </w:p>
    <w:p w14:paraId="4FAC3ACB" w14:textId="77777777" w:rsidR="00B51B45" w:rsidRPr="007E048D" w:rsidRDefault="00B51B45" w:rsidP="00B51B45">
      <w:pPr>
        <w:spacing w:before="120" w:after="120"/>
        <w:ind w:left="720"/>
        <w:rPr>
          <w:rFonts w:ascii="Calibri" w:hAnsi="Calibri" w:cs="Calibri"/>
          <w:i/>
          <w:iCs/>
          <w:color w:val="222222"/>
          <w:shd w:val="clear" w:color="auto" w:fill="FFFFFF"/>
        </w:rPr>
      </w:pPr>
      <w:r w:rsidRPr="00BC0D96">
        <w:rPr>
          <w:rFonts w:ascii="Calibri" w:hAnsi="Calibri" w:cs="Calibri"/>
          <w:i/>
          <w:iCs/>
          <w:color w:val="222222"/>
          <w:sz w:val="24"/>
          <w:szCs w:val="24"/>
          <w:shd w:val="clear" w:color="auto" w:fill="FFFFFF"/>
        </w:rPr>
        <w:t>“</w:t>
      </w:r>
      <w:r w:rsidRPr="000C373D">
        <w:rPr>
          <w:rFonts w:ascii="Calibri" w:hAnsi="Calibri" w:cs="Calibri"/>
          <w:i/>
          <w:iCs/>
          <w:color w:val="222222"/>
          <w:sz w:val="24"/>
          <w:szCs w:val="24"/>
          <w:shd w:val="clear" w:color="auto" w:fill="FFFFFF"/>
        </w:rPr>
        <w:t xml:space="preserve">Uncertainty about the outlook abroad also remains significant. On the macroeconomic policy front, recent announcements from the United States </w:t>
      </w:r>
      <w:r w:rsidRPr="001F2C9B">
        <w:rPr>
          <w:rFonts w:ascii="Calibri" w:hAnsi="Calibri" w:cs="Calibri"/>
          <w:b/>
          <w:bCs/>
          <w:i/>
          <w:iCs/>
          <w:color w:val="222222"/>
          <w:sz w:val="24"/>
          <w:szCs w:val="24"/>
          <w:shd w:val="clear" w:color="auto" w:fill="FFFFFF"/>
        </w:rPr>
        <w:t>on tariffs are having an impact on confidence globally</w:t>
      </w:r>
      <w:r w:rsidRPr="000C373D">
        <w:rPr>
          <w:rFonts w:ascii="Calibri" w:hAnsi="Calibri" w:cs="Calibri"/>
          <w:i/>
          <w:iCs/>
          <w:color w:val="222222"/>
          <w:sz w:val="24"/>
          <w:szCs w:val="24"/>
          <w:shd w:val="clear" w:color="auto" w:fill="FFFFFF"/>
        </w:rPr>
        <w:t xml:space="preserve"> and this would likely be amplified if the scope of tariffs widens, or other countries take retaliatory measures. </w:t>
      </w:r>
      <w:r w:rsidRPr="001F2C9B">
        <w:rPr>
          <w:rFonts w:ascii="Calibri" w:hAnsi="Calibri" w:cs="Calibri"/>
          <w:b/>
          <w:bCs/>
          <w:i/>
          <w:iCs/>
          <w:color w:val="222222"/>
          <w:sz w:val="24"/>
          <w:szCs w:val="24"/>
          <w:shd w:val="clear" w:color="auto" w:fill="FFFFFF"/>
        </w:rPr>
        <w:t xml:space="preserve">Geopolitical </w:t>
      </w:r>
      <w:r w:rsidRPr="001F2C9B">
        <w:rPr>
          <w:rFonts w:ascii="Calibri" w:hAnsi="Calibri" w:cs="Calibri"/>
          <w:b/>
          <w:bCs/>
          <w:i/>
          <w:iCs/>
          <w:color w:val="222222"/>
          <w:sz w:val="24"/>
          <w:szCs w:val="24"/>
          <w:shd w:val="clear" w:color="auto" w:fill="FFFFFF"/>
        </w:rPr>
        <w:lastRenderedPageBreak/>
        <w:t>uncertainties are also pronounced.</w:t>
      </w:r>
      <w:r w:rsidRPr="000C373D">
        <w:rPr>
          <w:rFonts w:ascii="Calibri" w:hAnsi="Calibri" w:cs="Calibri"/>
          <w:i/>
          <w:iCs/>
          <w:color w:val="222222"/>
          <w:sz w:val="24"/>
          <w:szCs w:val="24"/>
          <w:shd w:val="clear" w:color="auto" w:fill="FFFFFF"/>
        </w:rPr>
        <w:t xml:space="preserve"> These developments are expected to have an adverse effect on global activity, particularly if households and firms delay expenditures pending greater clarity on the outlook. </w:t>
      </w:r>
      <w:r w:rsidRPr="001F2C9B">
        <w:rPr>
          <w:rFonts w:ascii="Calibri" w:hAnsi="Calibri" w:cs="Calibri"/>
          <w:b/>
          <w:bCs/>
          <w:i/>
          <w:iCs/>
          <w:color w:val="222222"/>
          <w:sz w:val="24"/>
          <w:szCs w:val="24"/>
          <w:shd w:val="clear" w:color="auto" w:fill="FFFFFF"/>
        </w:rPr>
        <w:t>Inflation, however, could move in either direction.</w:t>
      </w:r>
      <w:r w:rsidRPr="000C373D">
        <w:rPr>
          <w:rFonts w:ascii="Calibri" w:hAnsi="Calibri" w:cs="Calibri"/>
          <w:i/>
          <w:iCs/>
          <w:color w:val="222222"/>
          <w:sz w:val="24"/>
          <w:szCs w:val="24"/>
          <w:shd w:val="clear" w:color="auto" w:fill="FFFFFF"/>
        </w:rPr>
        <w:t xml:space="preserve"> Many central banks have eased monetary policy since the start of the year, but they have become increasingly attentive to the evolving risks from recent global policy developments</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w:t>
      </w:r>
      <w:r>
        <w:rPr>
          <w:rFonts w:ascii="Calibri" w:hAnsi="Calibri" w:cs="Calibri"/>
          <w:i/>
          <w:iCs/>
          <w:color w:val="222222"/>
          <w:sz w:val="24"/>
          <w:szCs w:val="24"/>
          <w:shd w:val="clear" w:color="auto" w:fill="FFFFFF"/>
        </w:rPr>
        <w:t xml:space="preserve"> </w:t>
      </w:r>
      <w:r w:rsidRPr="007E048D">
        <w:rPr>
          <w:rFonts w:ascii="Calibri" w:hAnsi="Calibri" w:cs="Calibri"/>
          <w:i/>
          <w:iCs/>
          <w:color w:val="222222"/>
          <w:shd w:val="clear" w:color="auto" w:fill="FFFFFF"/>
        </w:rPr>
        <w:t xml:space="preserve">Michelle Bullock, Governor, RBA Monetary Policy Board meeting, </w:t>
      </w:r>
      <w:r>
        <w:rPr>
          <w:rFonts w:ascii="Calibri" w:hAnsi="Calibri" w:cs="Calibri"/>
          <w:i/>
          <w:iCs/>
          <w:color w:val="222222"/>
          <w:shd w:val="clear" w:color="auto" w:fill="FFFFFF"/>
        </w:rPr>
        <w:t>1</w:t>
      </w:r>
      <w:r w:rsidRPr="000C373D">
        <w:rPr>
          <w:rFonts w:ascii="Calibri" w:hAnsi="Calibri" w:cs="Calibri"/>
          <w:i/>
          <w:iCs/>
          <w:color w:val="222222"/>
          <w:shd w:val="clear" w:color="auto" w:fill="FFFFFF"/>
          <w:vertAlign w:val="superscript"/>
        </w:rPr>
        <w:t>st</w:t>
      </w:r>
      <w:r>
        <w:rPr>
          <w:rFonts w:ascii="Calibri" w:hAnsi="Calibri" w:cs="Calibri"/>
          <w:i/>
          <w:iCs/>
          <w:color w:val="222222"/>
          <w:shd w:val="clear" w:color="auto" w:fill="FFFFFF"/>
        </w:rPr>
        <w:t xml:space="preserve"> April </w:t>
      </w:r>
      <w:r w:rsidRPr="007E048D">
        <w:rPr>
          <w:rFonts w:ascii="Calibri" w:hAnsi="Calibri" w:cs="Calibri"/>
          <w:i/>
          <w:iCs/>
          <w:color w:val="222222"/>
          <w:shd w:val="clear" w:color="auto" w:fill="FFFFFF"/>
        </w:rPr>
        <w:t>202</w:t>
      </w:r>
      <w:r>
        <w:rPr>
          <w:rFonts w:ascii="Calibri" w:hAnsi="Calibri" w:cs="Calibri"/>
          <w:i/>
          <w:iCs/>
          <w:color w:val="222222"/>
          <w:shd w:val="clear" w:color="auto" w:fill="FFFFFF"/>
        </w:rPr>
        <w:t>5</w:t>
      </w:r>
      <w:r w:rsidRPr="007E048D">
        <w:rPr>
          <w:rFonts w:ascii="Calibri" w:hAnsi="Calibri" w:cs="Calibri"/>
          <w:i/>
          <w:iCs/>
          <w:color w:val="222222"/>
          <w:shd w:val="clear" w:color="auto" w:fill="FFFFFF"/>
        </w:rPr>
        <w:t>.</w:t>
      </w:r>
    </w:p>
    <w:p w14:paraId="1D584BD3" w14:textId="77777777" w:rsidR="00B51B45" w:rsidRPr="0042780D" w:rsidRDefault="00B51B45" w:rsidP="00B51B45">
      <w:pPr>
        <w:rPr>
          <w:rFonts w:ascii="Calibri" w:hAnsi="Calibri" w:cs="Calibri"/>
          <w:b/>
          <w:bCs/>
          <w:color w:val="222222"/>
          <w:sz w:val="24"/>
          <w:szCs w:val="24"/>
          <w:shd w:val="clear" w:color="auto" w:fill="FFFFFF"/>
        </w:rPr>
      </w:pPr>
      <w:r>
        <w:rPr>
          <w:rFonts w:ascii="Calibri" w:hAnsi="Calibri" w:cs="Calibri"/>
          <w:color w:val="222222"/>
          <w:sz w:val="24"/>
          <w:szCs w:val="24"/>
          <w:shd w:val="clear" w:color="auto" w:fill="FFFFFF"/>
        </w:rPr>
        <w:t xml:space="preserve">The next RBA Monetary Policy announcement is expected on the </w:t>
      </w:r>
      <w:r w:rsidRPr="0042780D">
        <w:rPr>
          <w:rFonts w:ascii="Calibri" w:hAnsi="Calibri" w:cs="Calibri"/>
          <w:b/>
          <w:bCs/>
          <w:color w:val="222222"/>
          <w:sz w:val="24"/>
          <w:szCs w:val="24"/>
          <w:shd w:val="clear" w:color="auto" w:fill="FFFFFF"/>
        </w:rPr>
        <w:t>19/20</w:t>
      </w:r>
      <w:r w:rsidRPr="0042780D">
        <w:rPr>
          <w:rFonts w:ascii="Calibri" w:hAnsi="Calibri" w:cs="Calibri"/>
          <w:b/>
          <w:bCs/>
          <w:color w:val="222222"/>
          <w:sz w:val="24"/>
          <w:szCs w:val="24"/>
          <w:shd w:val="clear" w:color="auto" w:fill="FFFFFF"/>
          <w:vertAlign w:val="superscript"/>
        </w:rPr>
        <w:t>th</w:t>
      </w:r>
      <w:r w:rsidRPr="0042780D">
        <w:rPr>
          <w:rFonts w:ascii="Calibri" w:hAnsi="Calibri" w:cs="Calibri"/>
          <w:b/>
          <w:bCs/>
          <w:color w:val="222222"/>
          <w:sz w:val="24"/>
          <w:szCs w:val="24"/>
          <w:shd w:val="clear" w:color="auto" w:fill="FFFFFF"/>
        </w:rPr>
        <w:t xml:space="preserve"> May 2025.</w:t>
      </w:r>
    </w:p>
    <w:p w14:paraId="6E761528" w14:textId="1A221A36" w:rsidR="00A352A1" w:rsidRDefault="00A352A1" w:rsidP="00A352A1">
      <w:r>
        <w:t xml:space="preserve">From a risk return perspective, markets are </w:t>
      </w:r>
      <w:r w:rsidR="00B51B45">
        <w:t>mixed</w:t>
      </w:r>
      <w:r>
        <w:t>:</w:t>
      </w:r>
    </w:p>
    <w:p w14:paraId="43E51706" w14:textId="3F53D718" w:rsidR="00375195" w:rsidRDefault="00806607" w:rsidP="00A87065">
      <w:pPr>
        <w:jc w:val="center"/>
      </w:pPr>
      <w:r w:rsidRPr="00806607">
        <w:rPr>
          <w:noProof/>
        </w:rPr>
        <w:drawing>
          <wp:inline distT="0" distB="0" distL="0" distR="0" wp14:anchorId="73CB4CC0" wp14:editId="28509707">
            <wp:extent cx="5731510" cy="3995420"/>
            <wp:effectExtent l="0" t="0" r="2540" b="5080"/>
            <wp:docPr id="1020277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08850CE" w14:textId="09D0C00C" w:rsidR="00D712E9" w:rsidRDefault="00D712E9" w:rsidP="00D712E9">
      <w:r w:rsidRPr="00D712E9">
        <w:rPr>
          <w:sz w:val="18"/>
        </w:rPr>
        <w:t xml:space="preserve"> </w:t>
      </w:r>
      <w:r w:rsidRPr="00A70A09">
        <w:rPr>
          <w:sz w:val="18"/>
        </w:rPr>
        <w:t xml:space="preserve">Source data: Lonsec as of </w:t>
      </w:r>
      <w:r w:rsidR="00B51B45">
        <w:rPr>
          <w:sz w:val="18"/>
        </w:rPr>
        <w:t>3</w:t>
      </w:r>
      <w:r w:rsidR="00806607">
        <w:rPr>
          <w:sz w:val="18"/>
        </w:rPr>
        <w:t>0</w:t>
      </w:r>
      <w:r w:rsidR="00806607" w:rsidRPr="00806607">
        <w:rPr>
          <w:sz w:val="18"/>
          <w:vertAlign w:val="superscript"/>
        </w:rPr>
        <w:t>th</w:t>
      </w:r>
      <w:r w:rsidR="00806607">
        <w:rPr>
          <w:sz w:val="18"/>
        </w:rPr>
        <w:t xml:space="preserve"> April</w:t>
      </w:r>
      <w:r w:rsidR="00B3221F">
        <w:rPr>
          <w:sz w:val="18"/>
        </w:rPr>
        <w:t xml:space="preserve"> </w:t>
      </w:r>
      <w:r>
        <w:rPr>
          <w:sz w:val="18"/>
        </w:rPr>
        <w:t>202</w:t>
      </w:r>
      <w:r w:rsidR="00B6680A">
        <w:rPr>
          <w:sz w:val="18"/>
        </w:rPr>
        <w:t>5</w:t>
      </w:r>
    </w:p>
    <w:p w14:paraId="484D77E5" w14:textId="3DF771E5"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w:t>
      </w:r>
      <w:r w:rsidR="00C22F5F">
        <w:t>property</w:t>
      </w:r>
      <w:r>
        <w:t xml:space="preserve">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lastRenderedPageBreak/>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664BFA6" w14:textId="016CDB17" w:rsidR="008B2268" w:rsidRDefault="008B2268" w:rsidP="004E0CA0">
      <w:r>
        <w:t xml:space="preserve">The </w:t>
      </w:r>
      <w:r w:rsidR="009756E0">
        <w:t>issues at the forefront of investors thoughts included</w:t>
      </w:r>
      <w:r>
        <w:t>:</w:t>
      </w:r>
    </w:p>
    <w:p w14:paraId="34A13A22" w14:textId="2E3CFE91" w:rsidR="00360014" w:rsidRDefault="00360014" w:rsidP="003C40F3">
      <w:pPr>
        <w:pStyle w:val="ListParagraph"/>
        <w:numPr>
          <w:ilvl w:val="0"/>
          <w:numId w:val="8"/>
        </w:numPr>
      </w:pPr>
      <w:r>
        <w:t xml:space="preserve">US Politics </w:t>
      </w:r>
      <w:r w:rsidR="00254625">
        <w:t>–</w:t>
      </w:r>
      <w:r w:rsidR="00254625" w:rsidRPr="008F66A2">
        <w:t xml:space="preserve"> </w:t>
      </w:r>
      <w:r w:rsidR="00254625">
        <w:t>Tariffs</w:t>
      </w:r>
      <w:r w:rsidR="00EF76AC">
        <w:t xml:space="preserve"> and the ever-changing mind of </w:t>
      </w:r>
      <w:r w:rsidR="00B6680A">
        <w:t xml:space="preserve">President </w:t>
      </w:r>
      <w:r w:rsidR="008F66A2" w:rsidRPr="008F66A2">
        <w:t xml:space="preserve">Donald Trump is </w:t>
      </w:r>
      <w:r w:rsidR="00EF76AC">
        <w:t xml:space="preserve">keeping both shares and bonds guessing. </w:t>
      </w:r>
      <w:r w:rsidR="00843E57">
        <w:t xml:space="preserve">We </w:t>
      </w:r>
      <w:r w:rsidR="00EF76AC">
        <w:t xml:space="preserve">are now beginning to </w:t>
      </w:r>
      <w:r w:rsidR="00843E57">
        <w:t xml:space="preserve">see how this will impact Australia in terms of </w:t>
      </w:r>
      <w:r w:rsidR="00843E57" w:rsidRPr="001C71C7">
        <w:rPr>
          <w:b/>
          <w:bCs/>
        </w:rPr>
        <w:t>trade tariffs</w:t>
      </w:r>
      <w:r w:rsidR="00B6680A">
        <w:t xml:space="preserve"> after the </w:t>
      </w:r>
      <w:r w:rsidR="00B51B45">
        <w:t xml:space="preserve">(+25%) </w:t>
      </w:r>
      <w:r w:rsidR="00B6680A">
        <w:t xml:space="preserve">steel </w:t>
      </w:r>
      <w:r w:rsidR="0044689A">
        <w:t xml:space="preserve">and aluminium </w:t>
      </w:r>
      <w:r w:rsidR="001C71C7">
        <w:t>announcement</w:t>
      </w:r>
      <w:r w:rsidR="00B51B45">
        <w:t xml:space="preserve"> and the flat (+10%) tariff on all exports to the US</w:t>
      </w:r>
      <w:r w:rsidR="001C71C7">
        <w:t>.</w:t>
      </w:r>
    </w:p>
    <w:p w14:paraId="568D4ABF" w14:textId="7AAD2CFC"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w:t>
      </w:r>
      <w:r w:rsidR="00BC254C">
        <w:t>a</w:t>
      </w:r>
      <w:r w:rsidR="00802E86">
        <w:t>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1EAEE480"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 xml:space="preserve">growth prospects the central theme. </w:t>
      </w:r>
      <w:r w:rsidR="001C71C7">
        <w:t>China</w:t>
      </w:r>
      <w:r w:rsidR="0044689A">
        <w:t>’s</w:t>
      </w:r>
      <w:r w:rsidR="001C71C7">
        <w:t xml:space="preserve"> </w:t>
      </w:r>
      <w:r w:rsidR="0044689A">
        <w:t xml:space="preserve">annual </w:t>
      </w:r>
      <w:r w:rsidR="001921CE">
        <w:t xml:space="preserve">GDP is resilient around the </w:t>
      </w:r>
      <w:r w:rsidR="001C71C7">
        <w:t>5.4</w:t>
      </w:r>
      <w:r w:rsidR="001921CE">
        <w:t>%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t xml:space="preserve">falling </w:t>
      </w:r>
      <w:r w:rsidR="00843E57">
        <w:rPr>
          <w:b/>
          <w:bCs/>
        </w:rPr>
        <w:t xml:space="preserve">global </w:t>
      </w:r>
      <w:r w:rsidR="003E5CBD" w:rsidRPr="003E5CBD">
        <w:rPr>
          <w:b/>
          <w:bCs/>
        </w:rPr>
        <w:t xml:space="preserve">growth prospects </w:t>
      </w:r>
      <w:r w:rsidR="001C71C7">
        <w:rPr>
          <w:b/>
          <w:bCs/>
        </w:rPr>
        <w:t xml:space="preserve">for EV and alternative energy </w:t>
      </w:r>
      <w:r w:rsidR="003E5CBD" w:rsidRPr="003E5CBD">
        <w:rPr>
          <w:b/>
          <w:bCs/>
        </w:rPr>
        <w:t>has impacted the demand prices of oil, iron ore</w:t>
      </w:r>
      <w:r w:rsidR="00EF76AC">
        <w:rPr>
          <w:b/>
          <w:bCs/>
        </w:rPr>
        <w:t xml:space="preserve">, </w:t>
      </w:r>
      <w:r w:rsidR="00DE11E9">
        <w:rPr>
          <w:b/>
          <w:bCs/>
        </w:rPr>
        <w:t>lithium,</w:t>
      </w:r>
      <w:r w:rsidR="003E5CBD">
        <w:t xml:space="preserve"> and other resources, except Gold which remains well supported</w:t>
      </w:r>
      <w:r w:rsidR="00D842BA">
        <w:t>.</w:t>
      </w:r>
    </w:p>
    <w:p w14:paraId="0D3E5B51" w14:textId="1ED66171"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w:t>
      </w:r>
      <w:r w:rsidR="00254625">
        <w:t>a slight</w:t>
      </w:r>
      <w:r w:rsidR="003627B9" w:rsidRPr="003E5CBD">
        <w:rPr>
          <w:b/>
          <w:bCs/>
        </w:rPr>
        <w:t xml:space="preserve"> </w:t>
      </w:r>
      <w:r w:rsidR="00EF76AC">
        <w:rPr>
          <w:b/>
          <w:bCs/>
        </w:rPr>
        <w:t>eas</w:t>
      </w:r>
      <w:r w:rsidR="001C71C7">
        <w:rPr>
          <w:b/>
          <w:bCs/>
        </w:rPr>
        <w:t>ing</w:t>
      </w:r>
      <w:r w:rsidR="003627B9" w:rsidRPr="003E5CBD">
        <w:rPr>
          <w:b/>
          <w:bCs/>
        </w:rPr>
        <w:t xml:space="preserve"> bias </w:t>
      </w:r>
      <w:r w:rsidR="00843E57">
        <w:rPr>
          <w:b/>
          <w:bCs/>
        </w:rPr>
        <w:t xml:space="preserve">Y-O-Y </w:t>
      </w:r>
      <w:r w:rsidR="00EB0473" w:rsidRPr="00EF76AC">
        <w:t xml:space="preserve">which </w:t>
      </w:r>
      <w:r w:rsidR="003627B9" w:rsidRPr="00EF76AC">
        <w:t xml:space="preserve">is </w:t>
      </w:r>
      <w:r w:rsidR="00EF76AC" w:rsidRPr="00EF76AC">
        <w:t>aiding</w:t>
      </w:r>
      <w:r w:rsidR="001C71C7" w:rsidRPr="00EF76AC">
        <w:t xml:space="preserve"> Central Banks </w:t>
      </w:r>
      <w:r w:rsidR="00EF76AC" w:rsidRPr="00EF76AC">
        <w:t>and their hopes for future easing o</w:t>
      </w:r>
      <w:r w:rsidR="00EF76AC">
        <w:t>f</w:t>
      </w:r>
      <w:r w:rsidR="00EF76AC" w:rsidRPr="00EF76AC">
        <w:t xml:space="preserve"> interest rates</w:t>
      </w:r>
      <w:r w:rsidR="00B115AE" w:rsidRPr="00EF76AC">
        <w:t>,</w:t>
      </w:r>
      <w:r w:rsidR="00397D87">
        <w:t xml:space="preserve"> </w:t>
      </w:r>
      <w:r w:rsidR="00EB0473">
        <w:t xml:space="preserve">as the </w:t>
      </w:r>
      <w:r w:rsidR="001C71C7">
        <w:t xml:space="preserve">inflation </w:t>
      </w:r>
      <w:r w:rsidR="00EB0473">
        <w:t xml:space="preserve">numbers </w:t>
      </w:r>
      <w:r w:rsidR="00EF76AC">
        <w:t>are</w:t>
      </w:r>
      <w:r w:rsidR="00EB0473">
        <w:t xml:space="preserve"> starting to hit within the</w:t>
      </w:r>
      <w:r w:rsidR="001C71C7">
        <w:t>ir</w:t>
      </w:r>
      <w:r w:rsidR="00EB0473">
        <w:t xml:space="preserve"> </w:t>
      </w:r>
      <w:r w:rsidR="00601243">
        <w:t>target ranges</w:t>
      </w:r>
      <w:r w:rsidR="001C71C7">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w:t>
      </w:r>
      <w:r w:rsidR="00254625" w:rsidRPr="00601243">
        <w:t>felt,</w:t>
      </w:r>
      <w:r w:rsidR="00601243" w:rsidRPr="00601243">
        <w:t xml:space="preserve">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2AFCE725" w:rsidR="00BC11B5" w:rsidRDefault="00BC11B5" w:rsidP="003C40F3">
      <w:pPr>
        <w:pStyle w:val="ListParagraph"/>
        <w:numPr>
          <w:ilvl w:val="0"/>
          <w:numId w:val="8"/>
        </w:numPr>
      </w:pPr>
      <w:r>
        <w:t xml:space="preserve">Bond </w:t>
      </w:r>
      <w:r w:rsidR="00E247C3">
        <w:t xml:space="preserve">markets </w:t>
      </w:r>
      <w:r w:rsidR="00363E96">
        <w:t xml:space="preserve">are </w:t>
      </w:r>
      <w:r w:rsidR="001E3557" w:rsidRPr="001E3557">
        <w:rPr>
          <w:b/>
          <w:bCs/>
        </w:rPr>
        <w:t>decoupling from the share markets</w:t>
      </w:r>
      <w:r w:rsidR="001E3557">
        <w:t xml:space="preserve"> and have become distorted by expectations of potentially higher inflation on the back of higher tariff levels. Normally as interest rates rise, share valuations fall along with share prices. This is not the case now. </w:t>
      </w:r>
      <w:r w:rsidR="00363E96">
        <w:t>The direction is still lower longer term but short term, volatility remains.</w:t>
      </w:r>
    </w:p>
    <w:p w14:paraId="07A4B833" w14:textId="248DA3AA" w:rsidR="008B2268" w:rsidRDefault="002C6C3E" w:rsidP="003C40F3">
      <w:pPr>
        <w:pStyle w:val="ListParagraph"/>
        <w:numPr>
          <w:ilvl w:val="0"/>
          <w:numId w:val="8"/>
        </w:numPr>
      </w:pPr>
      <w:r>
        <w:t>M</w:t>
      </w:r>
      <w:r w:rsidR="00894F9E">
        <w:t>arket</w:t>
      </w:r>
      <w:r w:rsidR="001415A2">
        <w:t xml:space="preserve"> valuations </w:t>
      </w:r>
      <w:r w:rsidR="0044689A">
        <w:t>have come under the spotlight in recent weeks as the tariff question appears to have investors challenging recent high valuations on some of the tech companies</w:t>
      </w:r>
      <w:r w:rsidR="00886421">
        <w:t>,</w:t>
      </w:r>
      <w:r w:rsidR="0044689A">
        <w:t xml:space="preserve"> </w:t>
      </w:r>
      <w:r w:rsidR="001415A2">
        <w:t xml:space="preserve">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w:t>
      </w:r>
      <w:r w:rsidR="00886421">
        <w:t xml:space="preserve"> the rest of</w:t>
      </w:r>
      <w:r w:rsidR="00B13339">
        <w:t xml:space="preserve"> </w:t>
      </w:r>
      <w:r w:rsidR="005D4428">
        <w:t>202</w:t>
      </w:r>
      <w:r w:rsidR="00E247C3">
        <w:t>5</w:t>
      </w:r>
      <w:r w:rsidR="005D4428">
        <w:t>.</w:t>
      </w:r>
      <w:r w:rsidR="00A00F13">
        <w:t xml:space="preserve"> </w:t>
      </w:r>
    </w:p>
    <w:p w14:paraId="0FBDDE4B" w14:textId="05F03053" w:rsidR="0046215F" w:rsidRDefault="00886421" w:rsidP="002D7EED">
      <w:r>
        <w:t>In the face of the recent volatility, short-term i</w:t>
      </w:r>
      <w:r w:rsidR="005C4645">
        <w:t xml:space="preserve">nvestors </w:t>
      </w:r>
      <w:r w:rsidR="00802B47">
        <w:t>ha</w:t>
      </w:r>
      <w:r w:rsidR="001E3557">
        <w:t>d</w:t>
      </w:r>
      <w:r w:rsidR="00802B47">
        <w:t xml:space="preserve"> </w:t>
      </w:r>
      <w:r w:rsidRPr="001E3557">
        <w:t>taken risk off the</w:t>
      </w:r>
      <w:r>
        <w:t xml:space="preserve"> table in the mostly growth companies </w:t>
      </w:r>
      <w:r w:rsidR="001E3557">
        <w:t xml:space="preserve">however, after the </w:t>
      </w:r>
      <w:r w:rsidR="001E3557" w:rsidRPr="001E3557">
        <w:rPr>
          <w:b/>
          <w:bCs/>
        </w:rPr>
        <w:t>US</w:t>
      </w:r>
      <w:r w:rsidR="001E3557">
        <w:t xml:space="preserve"> </w:t>
      </w:r>
      <w:r w:rsidR="001E3557" w:rsidRPr="001E3557">
        <w:rPr>
          <w:b/>
          <w:bCs/>
        </w:rPr>
        <w:t>fix</w:t>
      </w:r>
      <w:r w:rsidR="001E3557">
        <w:rPr>
          <w:b/>
          <w:bCs/>
        </w:rPr>
        <w:t>ed</w:t>
      </w:r>
      <w:r w:rsidR="001E3557" w:rsidRPr="001E3557">
        <w:rPr>
          <w:b/>
          <w:bCs/>
        </w:rPr>
        <w:t xml:space="preserve"> tariffs for 90 days</w:t>
      </w:r>
      <w:r w:rsidR="001E3557">
        <w:t xml:space="preserve">, the share markets have responded with </w:t>
      </w:r>
      <w:r w:rsidR="001E3557" w:rsidRPr="001E3557">
        <w:rPr>
          <w:b/>
          <w:bCs/>
        </w:rPr>
        <w:t>sharp rallies higher</w:t>
      </w:r>
      <w:r w:rsidR="001E3557">
        <w:t xml:space="preserve"> which has eased market nervousness</w:t>
      </w:r>
      <w:r>
        <w:t xml:space="preserve">. Medium and longer term </w:t>
      </w:r>
      <w:r w:rsidR="001E3557">
        <w:lastRenderedPageBreak/>
        <w:t xml:space="preserve">they </w:t>
      </w:r>
      <w:r>
        <w:t xml:space="preserve">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B26539">
        <w:t xml:space="preserve">as they await the next round of </w:t>
      </w:r>
      <w:r w:rsidR="00C103CF">
        <w:t xml:space="preserve">inflation data and </w:t>
      </w:r>
      <w:r w:rsidR="00B26539">
        <w:t>Central Bank activity</w:t>
      </w:r>
      <w:r>
        <w:t xml:space="preserve">. </w:t>
      </w:r>
      <w:r w:rsidR="002D7EED" w:rsidRPr="002D7EED">
        <w:t>Opportunistic buying is recommended despite the possibility of an economic slowdown in the future, with the impact expected to be limited.</w:t>
      </w:r>
      <w:r w:rsidR="002D7EED">
        <w:t xml:space="preserve"> </w:t>
      </w:r>
      <w:r w:rsidR="005C4645">
        <w:t xml:space="preserve"> </w:t>
      </w:r>
      <w:r w:rsidR="006A01FF">
        <w:t xml:space="preserve">We are looking for a </w:t>
      </w:r>
      <w:r w:rsidR="006A01FF" w:rsidRPr="006A01FF">
        <w:rPr>
          <w:b/>
          <w:bCs/>
        </w:rPr>
        <w:t>soft landing</w:t>
      </w:r>
      <w:r w:rsidR="006A01FF">
        <w:t xml:space="preserve"> for Australia.</w:t>
      </w:r>
    </w:p>
    <w:p w14:paraId="2641A6CA" w14:textId="77777777" w:rsidR="00843E57"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p>
    <w:p w14:paraId="3F20AC37" w14:textId="3CC901A3" w:rsidR="008C55C2" w:rsidRPr="008C55C2" w:rsidRDefault="008C55C2" w:rsidP="00B53288">
      <w:r w:rsidRPr="008C55C2">
        <w:t xml:space="preserve">China </w:t>
      </w:r>
      <w:r w:rsidR="001E3557">
        <w:t>continues to</w:t>
      </w:r>
      <w:r w:rsidRPr="008C55C2">
        <w:t xml:space="preserve"> ma</w:t>
      </w:r>
      <w:r w:rsidR="001E3557">
        <w:t>ke</w:t>
      </w:r>
      <w:r w:rsidRPr="008C55C2">
        <w:t xml:space="preserve"> fiscal and monetary policy announcements to </w:t>
      </w:r>
      <w:r w:rsidR="001E3557">
        <w:t>support</w:t>
      </w:r>
      <w:r w:rsidRPr="008C55C2">
        <w:t xml:space="preserve"> economic growth, </w:t>
      </w:r>
      <w:r w:rsidRPr="008C55C2">
        <w:rPr>
          <w:b/>
          <w:bCs/>
        </w:rPr>
        <w:t>targeting 5%</w:t>
      </w:r>
      <w:r w:rsidR="0040427A">
        <w:rPr>
          <w:b/>
          <w:bCs/>
        </w:rPr>
        <w:t xml:space="preserve"> over the next year. </w:t>
      </w:r>
      <w:r w:rsidR="0040427A" w:rsidRPr="0040427A">
        <w:t>I</w:t>
      </w:r>
      <w:r w:rsidRPr="008C55C2">
        <w:t xml:space="preserve">n response to </w:t>
      </w:r>
      <w:r w:rsidR="00CD56F0">
        <w:t>a</w:t>
      </w:r>
      <w:r w:rsidR="001C71C7">
        <w:t xml:space="preserve"> </w:t>
      </w:r>
      <w:r w:rsidR="00CD56F0">
        <w:t>dec</w:t>
      </w:r>
      <w:r w:rsidRPr="008C55C2">
        <w:t>rease in US tariffs</w:t>
      </w:r>
      <w:r w:rsidR="00720E08">
        <w:t xml:space="preserve"> </w:t>
      </w:r>
      <w:r w:rsidR="00CD56F0">
        <w:t>to</w:t>
      </w:r>
      <w:r w:rsidR="00720E08">
        <w:t xml:space="preserve"> </w:t>
      </w:r>
      <w:r w:rsidR="001E3557">
        <w:t>30</w:t>
      </w:r>
      <w:r w:rsidR="00720E08">
        <w:t>%</w:t>
      </w:r>
      <w:r w:rsidR="0040427A">
        <w:t>,</w:t>
      </w:r>
      <w:r w:rsidRPr="008C55C2">
        <w:t xml:space="preserve"> </w:t>
      </w:r>
      <w:r w:rsidR="0040427A">
        <w:t>Ch</w:t>
      </w:r>
      <w:r w:rsidR="001C71C7">
        <w:t xml:space="preserve">ina has </w:t>
      </w:r>
      <w:r w:rsidR="0040427A">
        <w:t xml:space="preserve">introduced a </w:t>
      </w:r>
      <w:r w:rsidR="001C71C7">
        <w:t>1</w:t>
      </w:r>
      <w:r w:rsidR="001E3557">
        <w:t>0</w:t>
      </w:r>
      <w:r w:rsidR="001C71C7">
        <w:t xml:space="preserve">% </w:t>
      </w:r>
      <w:r w:rsidR="0040427A">
        <w:t xml:space="preserve">tariff </w:t>
      </w:r>
      <w:r w:rsidR="001C71C7">
        <w:t>on US imported goods.</w:t>
      </w:r>
    </w:p>
    <w:p w14:paraId="0E2E95FA" w14:textId="65D17E7B"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CD56F0">
        <w:rPr>
          <w:b/>
          <w:bCs/>
        </w:rPr>
        <w:t>0</w:t>
      </w:r>
      <w:r w:rsidR="00CD56F0" w:rsidRPr="00CD56F0">
        <w:rPr>
          <w:b/>
          <w:bCs/>
          <w:vertAlign w:val="superscript"/>
        </w:rPr>
        <w:t>th</w:t>
      </w:r>
      <w:r w:rsidR="00CD56F0">
        <w:rPr>
          <w:b/>
          <w:bCs/>
        </w:rPr>
        <w:t xml:space="preserve"> April</w:t>
      </w:r>
      <w:r w:rsidRPr="004B4415">
        <w:rPr>
          <w:b/>
          <w:bCs/>
        </w:rPr>
        <w:t xml:space="preserve"> 202</w:t>
      </w:r>
      <w:r w:rsidR="001C71C7">
        <w:rPr>
          <w:b/>
          <w:bCs/>
        </w:rPr>
        <w:t>5</w:t>
      </w:r>
      <w:r w:rsidRPr="004B4415">
        <w:rPr>
          <w:b/>
          <w:bCs/>
        </w:rPr>
        <w:t>:</w:t>
      </w:r>
    </w:p>
    <w:p w14:paraId="13295CC7" w14:textId="4642FC29" w:rsidR="004104F2" w:rsidRDefault="003006BF" w:rsidP="00B53288">
      <w:r w:rsidRPr="003006BF">
        <w:rPr>
          <w:noProof/>
        </w:rPr>
        <w:drawing>
          <wp:inline distT="0" distB="0" distL="0" distR="0" wp14:anchorId="12DE6E2B" wp14:editId="05F5EAF2">
            <wp:extent cx="5410200" cy="1412240"/>
            <wp:effectExtent l="0" t="0" r="0" b="0"/>
            <wp:docPr id="1708548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12240"/>
                    </a:xfrm>
                    <a:prstGeom prst="rect">
                      <a:avLst/>
                    </a:prstGeom>
                    <a:noFill/>
                    <a:ln>
                      <a:noFill/>
                    </a:ln>
                  </pic:spPr>
                </pic:pic>
              </a:graphicData>
            </a:graphic>
          </wp:inline>
        </w:drawing>
      </w:r>
    </w:p>
    <w:p w14:paraId="549039F8" w14:textId="3DF554D6" w:rsidR="00867438" w:rsidRPr="00055F78" w:rsidRDefault="001308C8" w:rsidP="00055F78">
      <w:pPr>
        <w:jc w:val="center"/>
        <w:rPr>
          <w:sz w:val="18"/>
        </w:rPr>
      </w:pPr>
      <w:r w:rsidRPr="00A70A09">
        <w:rPr>
          <w:sz w:val="18"/>
        </w:rPr>
        <w:t xml:space="preserve">Source data: Lonsec as of </w:t>
      </w:r>
      <w:r w:rsidR="00E14DF7">
        <w:rPr>
          <w:sz w:val="18"/>
        </w:rPr>
        <w:t>3</w:t>
      </w:r>
      <w:r w:rsidR="003006BF">
        <w:rPr>
          <w:sz w:val="18"/>
        </w:rPr>
        <w:t>0</w:t>
      </w:r>
      <w:r w:rsidR="003006BF" w:rsidRPr="003006BF">
        <w:rPr>
          <w:sz w:val="18"/>
          <w:vertAlign w:val="superscript"/>
        </w:rPr>
        <w:t>th</w:t>
      </w:r>
      <w:r w:rsidR="003006BF">
        <w:rPr>
          <w:sz w:val="18"/>
        </w:rPr>
        <w:t xml:space="preserve"> April</w:t>
      </w:r>
      <w:r w:rsidR="00A001EA">
        <w:rPr>
          <w:sz w:val="18"/>
        </w:rPr>
        <w:t xml:space="preserve"> </w:t>
      </w:r>
      <w:r w:rsidR="0005797F">
        <w:rPr>
          <w:sz w:val="18"/>
        </w:rPr>
        <w:t>202</w:t>
      </w:r>
      <w:r w:rsidR="001C71C7">
        <w:rPr>
          <w:sz w:val="18"/>
        </w:rPr>
        <w:t>5</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232435C2" w:rsidR="000C7672" w:rsidRDefault="00A23AF0" w:rsidP="00B53288">
      <w:r>
        <w:t>The developed markets a</w:t>
      </w:r>
      <w:r w:rsidR="00365C86">
        <w:t xml:space="preserve">sset classes </w:t>
      </w:r>
      <w:r w:rsidR="00EF6467">
        <w:t>finished</w:t>
      </w:r>
      <w:r w:rsidR="00CE64CE">
        <w:t xml:space="preserve"> </w:t>
      </w:r>
      <w:r w:rsidR="0002201B">
        <w:t>mixed</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w:t>
      </w:r>
      <w:r w:rsidR="00E14DF7">
        <w:t>higher</w:t>
      </w:r>
      <w:r w:rsidR="00E72E45">
        <w:t xml:space="preserve"> </w:t>
      </w:r>
      <w:r w:rsidR="00A001EA">
        <w:t xml:space="preserve">at </w:t>
      </w:r>
      <w:r w:rsidR="00311F31" w:rsidRPr="002D7EED">
        <w:rPr>
          <w:b/>
          <w:bCs/>
        </w:rPr>
        <w:t>0.6</w:t>
      </w:r>
      <w:r w:rsidR="003006BF" w:rsidRPr="002D7EED">
        <w:rPr>
          <w:b/>
          <w:bCs/>
        </w:rPr>
        <w:t>416</w:t>
      </w:r>
      <w:r w:rsidR="00311F31" w:rsidRPr="002D7EED">
        <w:rPr>
          <w:b/>
          <w:bCs/>
        </w:rPr>
        <w:t xml:space="preserve"> </w:t>
      </w:r>
      <w:r w:rsidRPr="002D7EED">
        <w:rPr>
          <w:b/>
          <w:bCs/>
        </w:rPr>
        <w:t>(</w:t>
      </w:r>
      <w:r w:rsidR="00E14DF7" w:rsidRPr="002D7EED">
        <w:rPr>
          <w:b/>
          <w:bCs/>
        </w:rPr>
        <w:t>+</w:t>
      </w:r>
      <w:r w:rsidR="003006BF" w:rsidRPr="002D7EED">
        <w:rPr>
          <w:b/>
          <w:bCs/>
        </w:rPr>
        <w:t>2.17</w:t>
      </w:r>
      <w:r w:rsidRPr="002D7EED">
        <w:rPr>
          <w:b/>
          <w:bCs/>
        </w:rPr>
        <w:t>%)</w:t>
      </w:r>
      <w:r w:rsidR="007F0FC4">
        <w:t xml:space="preserve"> </w:t>
      </w:r>
      <w:r w:rsidR="00E72E45">
        <w:t>for</w:t>
      </w:r>
      <w:r w:rsidR="007F0FC4">
        <w:t xml:space="preserve"> the month which </w:t>
      </w:r>
      <w:r w:rsidR="00E14DF7">
        <w:t>cost</w:t>
      </w:r>
      <w:r w:rsidR="007F0FC4">
        <w:t xml:space="preserve"> </w:t>
      </w:r>
      <w:r w:rsidR="00E7618A">
        <w:t xml:space="preserve">returns for </w:t>
      </w:r>
      <w:r w:rsidR="007F0FC4">
        <w:t xml:space="preserve">unhedged holdings. </w:t>
      </w:r>
    </w:p>
    <w:p w14:paraId="22CAA8B6" w14:textId="77777777" w:rsidR="003006BF" w:rsidRDefault="003006BF" w:rsidP="00B53288">
      <w:pPr>
        <w:rPr>
          <w:b/>
          <w:bCs/>
        </w:rPr>
      </w:pPr>
    </w:p>
    <w:p w14:paraId="33BE5C9A" w14:textId="77777777" w:rsidR="003006BF" w:rsidRDefault="003006BF" w:rsidP="00B53288">
      <w:pPr>
        <w:rPr>
          <w:b/>
          <w:bCs/>
        </w:rPr>
      </w:pPr>
    </w:p>
    <w:p w14:paraId="1755CD66" w14:textId="77777777" w:rsidR="003006BF" w:rsidRDefault="003006BF" w:rsidP="00B53288">
      <w:pPr>
        <w:rPr>
          <w:b/>
          <w:bCs/>
        </w:rPr>
      </w:pPr>
    </w:p>
    <w:p w14:paraId="3939D647" w14:textId="77777777" w:rsidR="003006BF" w:rsidRDefault="003006BF" w:rsidP="00B53288">
      <w:pPr>
        <w:rPr>
          <w:b/>
          <w:bCs/>
        </w:rPr>
      </w:pPr>
    </w:p>
    <w:p w14:paraId="399173CF" w14:textId="77777777" w:rsidR="003006BF" w:rsidRDefault="003006BF" w:rsidP="00B53288">
      <w:pPr>
        <w:rPr>
          <w:b/>
          <w:bCs/>
        </w:rPr>
      </w:pPr>
    </w:p>
    <w:p w14:paraId="6052125F" w14:textId="77777777" w:rsidR="003006BF" w:rsidRDefault="003006BF" w:rsidP="00B53288">
      <w:pPr>
        <w:rPr>
          <w:b/>
          <w:bCs/>
        </w:rPr>
      </w:pPr>
    </w:p>
    <w:p w14:paraId="20599E13" w14:textId="77777777" w:rsidR="003006BF" w:rsidRDefault="003006BF" w:rsidP="00B53288">
      <w:pPr>
        <w:rPr>
          <w:b/>
          <w:bCs/>
        </w:rPr>
      </w:pPr>
    </w:p>
    <w:p w14:paraId="332726E8" w14:textId="77777777" w:rsidR="003006BF" w:rsidRDefault="003006BF" w:rsidP="00B53288">
      <w:pPr>
        <w:rPr>
          <w:b/>
          <w:bCs/>
        </w:rPr>
      </w:pPr>
    </w:p>
    <w:p w14:paraId="36530A8B" w14:textId="77777777" w:rsidR="00254625" w:rsidRDefault="00254625" w:rsidP="00B53288">
      <w:pPr>
        <w:rPr>
          <w:b/>
          <w:bCs/>
        </w:rPr>
      </w:pPr>
    </w:p>
    <w:p w14:paraId="5FF89959" w14:textId="77777777" w:rsidR="00254625" w:rsidRDefault="00254625" w:rsidP="00B53288">
      <w:pPr>
        <w:rPr>
          <w:b/>
          <w:bCs/>
        </w:rPr>
      </w:pPr>
    </w:p>
    <w:p w14:paraId="77FE6E89" w14:textId="77777777" w:rsidR="003006BF" w:rsidRDefault="003006BF" w:rsidP="00B53288">
      <w:pPr>
        <w:rPr>
          <w:b/>
          <w:bCs/>
        </w:rPr>
      </w:pPr>
    </w:p>
    <w:p w14:paraId="4A4DCEFF" w14:textId="000C6EAC" w:rsidR="001C4340" w:rsidRPr="001C4340" w:rsidRDefault="001C4340" w:rsidP="00B53288">
      <w:pPr>
        <w:rPr>
          <w:b/>
          <w:bCs/>
        </w:rPr>
      </w:pPr>
      <w:r w:rsidRPr="001C4340">
        <w:rPr>
          <w:b/>
          <w:bCs/>
        </w:rPr>
        <w:lastRenderedPageBreak/>
        <w:t>Asset Class Performance</w:t>
      </w:r>
    </w:p>
    <w:p w14:paraId="5FFD9B16" w14:textId="30379714" w:rsidR="00EA4358" w:rsidRDefault="003006BF" w:rsidP="00A001EA">
      <w:pPr>
        <w:jc w:val="center"/>
      </w:pPr>
      <w:r w:rsidRPr="003006BF">
        <w:rPr>
          <w:noProof/>
        </w:rPr>
        <w:drawing>
          <wp:inline distT="0" distB="0" distL="0" distR="0" wp14:anchorId="1B2BE014" wp14:editId="23C212D6">
            <wp:extent cx="5548294" cy="3403600"/>
            <wp:effectExtent l="0" t="0" r="0" b="6350"/>
            <wp:docPr id="7502273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783" cy="3426598"/>
                    </a:xfrm>
                    <a:prstGeom prst="rect">
                      <a:avLst/>
                    </a:prstGeom>
                    <a:noFill/>
                    <a:ln>
                      <a:noFill/>
                    </a:ln>
                  </pic:spPr>
                </pic:pic>
              </a:graphicData>
            </a:graphic>
          </wp:inline>
        </w:drawing>
      </w:r>
    </w:p>
    <w:p w14:paraId="4F173F3B" w14:textId="4BCF9DA9"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E14DF7">
        <w:rPr>
          <w:sz w:val="16"/>
          <w:szCs w:val="16"/>
        </w:rPr>
        <w:t>3</w:t>
      </w:r>
      <w:r w:rsidR="003006BF">
        <w:rPr>
          <w:sz w:val="16"/>
          <w:szCs w:val="16"/>
        </w:rPr>
        <w:t>0</w:t>
      </w:r>
      <w:r w:rsidR="003006BF" w:rsidRPr="003006BF">
        <w:rPr>
          <w:sz w:val="16"/>
          <w:szCs w:val="16"/>
          <w:vertAlign w:val="superscript"/>
        </w:rPr>
        <w:t>th</w:t>
      </w:r>
      <w:r w:rsidR="003006BF">
        <w:rPr>
          <w:sz w:val="16"/>
          <w:szCs w:val="16"/>
        </w:rPr>
        <w:t xml:space="preserve"> April</w:t>
      </w:r>
      <w:r w:rsidR="00063F3C">
        <w:rPr>
          <w:sz w:val="16"/>
          <w:szCs w:val="16"/>
          <w:vertAlign w:val="superscript"/>
        </w:rPr>
        <w:t xml:space="preserve"> </w:t>
      </w:r>
      <w:r w:rsidR="004E3C80">
        <w:rPr>
          <w:sz w:val="16"/>
          <w:szCs w:val="16"/>
        </w:rPr>
        <w:t>202</w:t>
      </w:r>
      <w:r w:rsidR="00E77D79">
        <w:rPr>
          <w:sz w:val="16"/>
          <w:szCs w:val="16"/>
        </w:rPr>
        <w:t>5</w:t>
      </w:r>
      <w:r w:rsidR="0062338B">
        <w:rPr>
          <w:sz w:val="16"/>
          <w:szCs w:val="16"/>
        </w:rPr>
        <w:t xml:space="preserve"> </w:t>
      </w:r>
      <w:r w:rsidRPr="001F3631">
        <w:rPr>
          <w:sz w:val="16"/>
          <w:szCs w:val="16"/>
        </w:rPr>
        <w:t>&amp; Fox Asset Management</w:t>
      </w:r>
    </w:p>
    <w:p w14:paraId="46E2DBFE" w14:textId="77777777" w:rsidR="00723CD3" w:rsidRDefault="00723CD3" w:rsidP="00F6077E">
      <w:pPr>
        <w:rPr>
          <w:b/>
          <w:bCs/>
        </w:rPr>
      </w:pPr>
    </w:p>
    <w:p w14:paraId="68131F76" w14:textId="60055035"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2986FB07" w14:textId="4AF00711" w:rsidR="00723CD3" w:rsidRPr="00981955"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E0186">
        <w:t xml:space="preserve">in the </w:t>
      </w:r>
      <w:r w:rsidR="007E0186" w:rsidRPr="00C40007">
        <w:t xml:space="preserve">short term </w:t>
      </w:r>
      <w:r w:rsidR="00723CD3">
        <w:t xml:space="preserve">has changed reflecting the volatility the US tariffs have created. </w:t>
      </w:r>
      <w:r w:rsidR="00723CD3" w:rsidRPr="00723CD3">
        <w:rPr>
          <w:b/>
          <w:bCs/>
        </w:rPr>
        <w:t>Risk-</w:t>
      </w:r>
      <w:r w:rsidR="003006BF">
        <w:rPr>
          <w:b/>
          <w:bCs/>
        </w:rPr>
        <w:t>o</w:t>
      </w:r>
      <w:r w:rsidR="00723CD3" w:rsidRPr="00723CD3">
        <w:rPr>
          <w:b/>
          <w:bCs/>
        </w:rPr>
        <w:t>ff trades</w:t>
      </w:r>
      <w:r w:rsidR="00723CD3">
        <w:t xml:space="preserve"> </w:t>
      </w:r>
      <w:r w:rsidR="003006BF">
        <w:t>initially</w:t>
      </w:r>
      <w:r w:rsidR="00723CD3">
        <w:t xml:space="preserve"> dominated </w:t>
      </w:r>
      <w:r w:rsidR="003006BF">
        <w:t xml:space="preserve">activity, however, post the tariff freeze, </w:t>
      </w:r>
      <w:r w:rsidR="003006BF" w:rsidRPr="003006BF">
        <w:rPr>
          <w:b/>
          <w:bCs/>
        </w:rPr>
        <w:t>risk-on trades</w:t>
      </w:r>
      <w:r w:rsidR="003006BF">
        <w:t xml:space="preserve"> have dominated</w:t>
      </w:r>
      <w:r w:rsidR="00723CD3">
        <w:t xml:space="preserve">. This downside risk </w:t>
      </w:r>
      <w:r w:rsidR="00596BAB">
        <w:t xml:space="preserve">remains a </w:t>
      </w:r>
      <w:r w:rsidR="00981955">
        <w:t>real</w:t>
      </w:r>
      <w:r w:rsidR="00723CD3">
        <w:t xml:space="preserve"> </w:t>
      </w:r>
      <w:r w:rsidR="00596BAB">
        <w:t xml:space="preserve">threat </w:t>
      </w:r>
      <w:r w:rsidR="00723CD3">
        <w:t xml:space="preserve">given that all countries </w:t>
      </w:r>
      <w:r w:rsidR="00981955">
        <w:t xml:space="preserve">that trade (exporters) with the US </w:t>
      </w:r>
      <w:r w:rsidR="00723CD3">
        <w:t xml:space="preserve">are impacted by the tariffs. For </w:t>
      </w:r>
      <w:r w:rsidR="00DE11E9">
        <w:t>Australia,</w:t>
      </w:r>
      <w:r w:rsidR="00723CD3">
        <w:t xml:space="preserve"> the </w:t>
      </w:r>
      <w:r w:rsidR="00723CD3" w:rsidRPr="00723CD3">
        <w:rPr>
          <w:b/>
          <w:bCs/>
        </w:rPr>
        <w:t xml:space="preserve">impact is </w:t>
      </w:r>
      <w:r w:rsidR="00981955">
        <w:rPr>
          <w:b/>
          <w:bCs/>
        </w:rPr>
        <w:t>contained</w:t>
      </w:r>
      <w:r w:rsidR="00723CD3">
        <w:t xml:space="preserve"> to the </w:t>
      </w:r>
      <w:r w:rsidR="00723CD3" w:rsidRPr="00723CD3">
        <w:rPr>
          <w:b/>
          <w:bCs/>
        </w:rPr>
        <w:t xml:space="preserve">steel and aluminium </w:t>
      </w:r>
      <w:r w:rsidR="00981955">
        <w:rPr>
          <w:b/>
          <w:bCs/>
        </w:rPr>
        <w:t xml:space="preserve">(+25%) and everything else 10% </w:t>
      </w:r>
      <w:r w:rsidR="00981955" w:rsidRPr="00981955">
        <w:t xml:space="preserve">of </w:t>
      </w:r>
      <w:r w:rsidR="00723CD3" w:rsidRPr="00981955">
        <w:t>exports to the US</w:t>
      </w:r>
      <w:r w:rsidR="00DE11E9" w:rsidRPr="00981955">
        <w:t xml:space="preserve">. </w:t>
      </w:r>
      <w:r w:rsidR="00981955">
        <w:t>At this stage, Australia has not retaliated with any US tariffs.</w:t>
      </w:r>
    </w:p>
    <w:p w14:paraId="1701C39F" w14:textId="46C31A2D" w:rsidR="000678F3" w:rsidRDefault="00723CD3" w:rsidP="001E16AE">
      <w:pPr>
        <w:spacing w:before="120" w:after="120"/>
      </w:pPr>
      <w:r>
        <w:t xml:space="preserve">Medium-term investors </w:t>
      </w:r>
      <w:r w:rsidR="00665AF3">
        <w:t xml:space="preserve">are encouraged by the </w:t>
      </w:r>
      <w:r w:rsidR="00C92CC1">
        <w:t xml:space="preserve">anticipated </w:t>
      </w:r>
      <w:r w:rsidR="00665AF3">
        <w:t xml:space="preserve">gradual easing of interest </w:t>
      </w:r>
      <w:r w:rsidR="00DE11E9">
        <w:t>rates; however,</w:t>
      </w:r>
      <w:r w:rsidR="00C92CC1">
        <w:t xml:space="preserve"> the </w:t>
      </w:r>
      <w:r w:rsidR="002828E4">
        <w:t xml:space="preserve">unsettled nature of the </w:t>
      </w:r>
      <w:r w:rsidR="00E77D79">
        <w:t xml:space="preserve">share and </w:t>
      </w:r>
      <w:r w:rsidR="00C92CC1">
        <w:t xml:space="preserve">bond markets </w:t>
      </w:r>
      <w:r w:rsidR="002828E4">
        <w:t>clouds the short-term direction</w:t>
      </w:r>
      <w:r w:rsidR="00E77D79">
        <w:t>.</w:t>
      </w:r>
      <w:r w:rsidR="00665AF3">
        <w:t xml:space="preserve"> </w:t>
      </w:r>
      <w:r w:rsidR="00074A1A">
        <w:t>T</w:t>
      </w:r>
      <w:r w:rsidR="00B02125">
        <w:t xml:space="preserve">he </w:t>
      </w:r>
      <w:r w:rsidR="00074A1A">
        <w:t>soft-landing</w:t>
      </w:r>
      <w:r w:rsidR="00B02125">
        <w:t xml:space="preserve"> </w:t>
      </w:r>
      <w:r w:rsidR="00074A1A">
        <w:t xml:space="preserve">expectations </w:t>
      </w:r>
      <w:r w:rsidR="00B02125">
        <w:t xml:space="preserve">and </w:t>
      </w:r>
      <w:r w:rsidR="00B02125" w:rsidRPr="00981955">
        <w:rPr>
          <w:b/>
          <w:bCs/>
        </w:rPr>
        <w:t>economic recovery</w:t>
      </w:r>
      <w:r w:rsidR="00074A1A" w:rsidRPr="00981955">
        <w:rPr>
          <w:b/>
          <w:bCs/>
        </w:rPr>
        <w:t xml:space="preserve"> are still supported</w:t>
      </w:r>
      <w:r w:rsidR="00E77D79" w:rsidRPr="00981955">
        <w:rPr>
          <w:b/>
          <w:bCs/>
        </w:rPr>
        <w:t xml:space="preserve"> by the economic data</w:t>
      </w:r>
      <w:r w:rsidR="00854E2E">
        <w:t>,</w:t>
      </w:r>
      <w:r w:rsidR="00B02125">
        <w:t xml:space="preserve"> despite the </w:t>
      </w:r>
      <w:r>
        <w:t>recent volatility</w:t>
      </w:r>
      <w:r w:rsidR="001E16AE">
        <w:t xml:space="preserve">. </w:t>
      </w:r>
    </w:p>
    <w:p w14:paraId="0AEB38DD" w14:textId="0D141D52"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2616C9">
        <w:t>energy (</w:t>
      </w:r>
      <w:r w:rsidR="007145A7">
        <w:t>oil,</w:t>
      </w:r>
      <w:r w:rsidR="00B02125">
        <w:t xml:space="preserve"> and gas</w:t>
      </w:r>
      <w:r w:rsidR="002616C9">
        <w:t>)</w:t>
      </w:r>
      <w:r w:rsidR="00B02125">
        <w:t xml:space="preserve">, </w:t>
      </w:r>
      <w:r>
        <w:t>however an</w:t>
      </w:r>
      <w:r w:rsidR="003B1467">
        <w:t>y</w:t>
      </w:r>
      <w:r>
        <w:t xml:space="preserve"> fall in </w:t>
      </w:r>
      <w:r w:rsidR="007C64CC">
        <w:t xml:space="preserve">interest rates will spur </w:t>
      </w:r>
      <w:r w:rsidR="007C64CC">
        <w:lastRenderedPageBreak/>
        <w:t xml:space="preserve">buying in </w:t>
      </w:r>
      <w:r>
        <w:t xml:space="preserve">asset </w:t>
      </w:r>
      <w:r w:rsidR="007C64CC">
        <w:t>classes that have been oversold in recent months (property</w:t>
      </w:r>
      <w:r w:rsidR="00E72E45">
        <w:t xml:space="preserve">) </w:t>
      </w:r>
      <w:r w:rsidR="00D35CCF">
        <w:t xml:space="preserve">however, the volatility of prices </w:t>
      </w:r>
      <w:r w:rsidR="002616C9">
        <w:t>remain.</w:t>
      </w:r>
    </w:p>
    <w:p w14:paraId="4D2D3182" w14:textId="0CB45064" w:rsidR="00201A4D" w:rsidRDefault="002671FD" w:rsidP="001E16AE">
      <w:pPr>
        <w:spacing w:before="120" w:after="120"/>
      </w:pPr>
      <w:r>
        <w:t>US c</w:t>
      </w:r>
      <w:r w:rsidR="0089672B">
        <w:t xml:space="preserve">onsumption </w:t>
      </w:r>
      <w:r w:rsidR="00B04D6E">
        <w:t xml:space="preserve">is </w:t>
      </w:r>
      <w:r w:rsidR="004361BB">
        <w:t xml:space="preserve">holding up well </w:t>
      </w:r>
      <w:r w:rsidR="003B1467">
        <w:t xml:space="preserve">with </w:t>
      </w:r>
      <w:r w:rsidR="003B1467" w:rsidRPr="00854E2E">
        <w:rPr>
          <w:b/>
          <w:bCs/>
        </w:rPr>
        <w:t xml:space="preserve">retail sales </w:t>
      </w:r>
      <w:r w:rsidR="00C92CC1">
        <w:rPr>
          <w:b/>
          <w:bCs/>
        </w:rPr>
        <w:t xml:space="preserve">YOY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Pr>
          <w:b/>
          <w:bCs/>
        </w:rPr>
        <w:t>5.2</w:t>
      </w:r>
      <w:r w:rsidR="00074A1A" w:rsidRPr="00854E2E">
        <w:rPr>
          <w:b/>
          <w:bCs/>
        </w:rPr>
        <w:t>%</w:t>
      </w:r>
      <w:r w:rsidR="00984AC0" w:rsidRPr="00854E2E">
        <w:rPr>
          <w:b/>
          <w:bCs/>
        </w:rPr>
        <w:t>)</w:t>
      </w:r>
      <w:r w:rsidR="003B1467">
        <w:t xml:space="preserve"> in </w:t>
      </w:r>
      <w:r>
        <w:t>April</w:t>
      </w:r>
      <w:r w:rsidR="003B1467">
        <w:t xml:space="preserve"> 202</w:t>
      </w:r>
      <w:r w:rsidR="00981955">
        <w:t>5</w:t>
      </w:r>
      <w:r w:rsidR="003B1467">
        <w:t xml:space="preserve"> </w:t>
      </w:r>
      <w:r w:rsidR="00B04D6E">
        <w:t xml:space="preserve">which </w:t>
      </w:r>
      <w:r w:rsidR="00497862">
        <w:t>will</w:t>
      </w:r>
      <w:r w:rsidR="00B02125">
        <w:t xml:space="preserve"> </w:t>
      </w:r>
      <w:r w:rsidR="00074A1A">
        <w:t xml:space="preserve">impact company profit expectations </w:t>
      </w:r>
      <w:r w:rsidR="0089672B">
        <w:t>in the short-term</w:t>
      </w:r>
      <w:r w:rsidR="004361BB">
        <w:t xml:space="preserve"> and worry the </w:t>
      </w:r>
      <w:r>
        <w:t>Fed</w:t>
      </w:r>
      <w:r w:rsidR="00816FD5">
        <w:t xml:space="preserve"> from an inflation perspective</w:t>
      </w:r>
      <w:r w:rsidR="00984AC0">
        <w:t>.</w:t>
      </w:r>
      <w:r w:rsidR="00D74275">
        <w:t xml:space="preserve"> </w:t>
      </w:r>
    </w:p>
    <w:p w14:paraId="6B8750FC" w14:textId="09790109"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97EBA">
        <w:t xml:space="preserve">despite </w:t>
      </w:r>
      <w:r w:rsidR="00816FD5" w:rsidRPr="00816FD5">
        <w:t xml:space="preserve">the </w:t>
      </w:r>
      <w:r w:rsidR="007C64CC" w:rsidRPr="00816FD5">
        <w:t xml:space="preserve">US Fed </w:t>
      </w:r>
      <w:r w:rsidR="00CF156A" w:rsidRPr="00816FD5">
        <w:t>Chair, Jerome Powel</w:t>
      </w:r>
      <w:r w:rsidR="00816FD5" w:rsidRPr="00816FD5">
        <w:t xml:space="preserve">s </w:t>
      </w:r>
      <w:r w:rsidR="002671FD">
        <w:t xml:space="preserve">downplaying </w:t>
      </w:r>
      <w:r w:rsidR="00665AF3">
        <w:t xml:space="preserve">further </w:t>
      </w:r>
      <w:r w:rsidR="00816FD5">
        <w:t>easing of interest rates in the US</w:t>
      </w:r>
      <w:r w:rsidR="00D35CCF">
        <w:t xml:space="preserve"> </w:t>
      </w:r>
      <w:r w:rsidR="00981955">
        <w:t xml:space="preserve">for the rest of </w:t>
      </w:r>
      <w:r w:rsidR="00D35CCF">
        <w:t>2025</w:t>
      </w:r>
      <w:r w:rsidR="00816FD5">
        <w:t>.</w:t>
      </w:r>
      <w:r w:rsidR="00816FD5" w:rsidRPr="00816FD5">
        <w:t xml:space="preserve"> </w:t>
      </w:r>
    </w:p>
    <w:p w14:paraId="024D1376" w14:textId="7A21B575"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w:t>
      </w:r>
      <w:r w:rsidR="005D2FDE">
        <w:t xml:space="preserve">recovery </w:t>
      </w:r>
      <w:r>
        <w:t xml:space="preserve">period ahead. Global Central Banks continue to indicate a resolve to get inflation under control however, the economic data is showing signs of </w:t>
      </w:r>
      <w:r w:rsidR="005F6840">
        <w:t>a</w:t>
      </w:r>
      <w:r w:rsidR="00897EBA">
        <w:t xml:space="preserve"> stabilising</w:t>
      </w:r>
      <w:r>
        <w:t xml:space="preserve"> </w:t>
      </w:r>
      <w:r w:rsidR="00212D0A">
        <w:t>despite</w:t>
      </w:r>
      <w:r w:rsidR="005F6840">
        <w:t xml:space="preserve"> </w:t>
      </w:r>
      <w:r>
        <w:t>inflation</w:t>
      </w:r>
      <w:r w:rsidR="007C64CC">
        <w:t xml:space="preserve"> </w:t>
      </w:r>
      <w:r w:rsidR="00212D0A">
        <w:t xml:space="preserve">being elevated </w:t>
      </w:r>
      <w:r w:rsidR="007C64CC">
        <w:t xml:space="preserve">and every indication is for future easing in monetary policy </w:t>
      </w:r>
      <w:r w:rsidR="00897EBA">
        <w:t xml:space="preserve">to be possible </w:t>
      </w:r>
      <w:r w:rsidR="005D2FDE">
        <w:t>over</w:t>
      </w:r>
      <w:r w:rsidR="00665AF3">
        <w:t xml:space="preserve"> 2025</w:t>
      </w:r>
      <w:r w:rsidR="007C64CC">
        <w:t xml:space="preserve">. Remember </w:t>
      </w:r>
      <w:r w:rsidR="007C64CC" w:rsidRPr="007C64CC">
        <w:rPr>
          <w:b/>
          <w:bCs/>
        </w:rPr>
        <w:t>markets are forward looking</w:t>
      </w:r>
      <w:r w:rsidR="007C64CC">
        <w:t xml:space="preserve"> so the support now is reflecting the expectations for conditions in </w:t>
      </w:r>
      <w:r w:rsidR="00A101AB">
        <w:t>January</w:t>
      </w:r>
      <w:r w:rsidR="007C64CC">
        <w:t xml:space="preserve"> 202</w:t>
      </w:r>
      <w:r w:rsidR="00984AC0">
        <w:t>5</w:t>
      </w:r>
      <w:r w:rsidR="007C64CC">
        <w:t>.</w:t>
      </w:r>
      <w:r>
        <w:t xml:space="preserve"> </w:t>
      </w:r>
    </w:p>
    <w:p w14:paraId="6F8EECA2" w14:textId="2B1BDAA4"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81955">
        <w:rPr>
          <w:b/>
          <w:bCs/>
        </w:rPr>
        <w:t>3</w:t>
      </w:r>
      <w:r w:rsidR="00A101AB">
        <w:rPr>
          <w:b/>
          <w:bCs/>
        </w:rPr>
        <w:t>0</w:t>
      </w:r>
      <w:r w:rsidR="00A101AB" w:rsidRPr="00A101AB">
        <w:rPr>
          <w:b/>
          <w:bCs/>
          <w:vertAlign w:val="superscript"/>
        </w:rPr>
        <w:t>th</w:t>
      </w:r>
      <w:r w:rsidR="00A101AB">
        <w:rPr>
          <w:b/>
          <w:bCs/>
        </w:rPr>
        <w:t xml:space="preserve"> April</w:t>
      </w:r>
      <w:r w:rsidRPr="00025089">
        <w:rPr>
          <w:b/>
          <w:bCs/>
        </w:rPr>
        <w:t xml:space="preserve"> </w:t>
      </w:r>
      <w:r w:rsidR="002F0E91" w:rsidRPr="00025089">
        <w:rPr>
          <w:b/>
          <w:bCs/>
        </w:rPr>
        <w:t>202</w:t>
      </w:r>
      <w:r w:rsidR="00A22C87">
        <w:rPr>
          <w:b/>
          <w:bCs/>
        </w:rPr>
        <w:t>5</w:t>
      </w:r>
      <w:r w:rsidR="00181027">
        <w:rPr>
          <w:b/>
          <w:bCs/>
        </w:rPr>
        <w:t>:</w:t>
      </w:r>
      <w:r w:rsidRPr="00025089">
        <w:rPr>
          <w:b/>
          <w:bCs/>
        </w:rPr>
        <w:t xml:space="preserve"> </w:t>
      </w:r>
    </w:p>
    <w:p w14:paraId="1C9B1309" w14:textId="390AA1D5" w:rsidR="00A769F6" w:rsidRDefault="007B239A" w:rsidP="009E7EF6">
      <w:pPr>
        <w:spacing w:before="120" w:after="120" w:line="240" w:lineRule="auto"/>
      </w:pPr>
      <w:r w:rsidRPr="00F90325">
        <w:t xml:space="preserve">Global </w:t>
      </w:r>
      <w:r w:rsidR="00CB2DF1">
        <w:t xml:space="preserve">share </w:t>
      </w:r>
      <w:r w:rsidR="00F82AE9">
        <w:t xml:space="preserve">markets </w:t>
      </w:r>
      <w:r w:rsidR="00FA390E">
        <w:t xml:space="preserve">over </w:t>
      </w:r>
      <w:r w:rsidR="00A101AB">
        <w:t>April</w:t>
      </w:r>
      <w:r w:rsidR="00B752EF">
        <w:t xml:space="preserve"> were </w:t>
      </w:r>
      <w:r w:rsidR="005D2FDE">
        <w:t>mixed</w:t>
      </w:r>
      <w:r w:rsidR="00A22C87">
        <w:t xml:space="preserve"> </w:t>
      </w:r>
      <w:r w:rsidR="00131EB9">
        <w:t xml:space="preserve">with </w:t>
      </w:r>
      <w:r w:rsidR="00A769F6">
        <w:t xml:space="preserve">returns </w:t>
      </w:r>
      <w:r w:rsidR="00A22C87">
        <w:t>impact</w:t>
      </w:r>
      <w:r w:rsidR="005D2FDE">
        <w:t>ed</w:t>
      </w:r>
      <w:r w:rsidR="00A769F6">
        <w:t xml:space="preserve"> </w:t>
      </w:r>
      <w:r w:rsidR="005D2FDE">
        <w:t xml:space="preserve">by </w:t>
      </w:r>
      <w:r w:rsidR="00A769F6">
        <w:t>t</w:t>
      </w:r>
      <w:r w:rsidR="00A769F6" w:rsidRPr="00A769F6">
        <w:t xml:space="preserve">he </w:t>
      </w:r>
      <w:r w:rsidR="00981955">
        <w:t xml:space="preserve">ongoing </w:t>
      </w:r>
      <w:r w:rsidR="005D2FDE">
        <w:t>tariff situation</w:t>
      </w:r>
      <w:r w:rsidR="002344AE">
        <w:t xml:space="preserve"> and changing bouts of volatility</w:t>
      </w:r>
      <w:r w:rsidR="00A101AB">
        <w:t xml:space="preserve"> after every announcement</w:t>
      </w:r>
      <w:r w:rsidR="005D2FDE">
        <w:t>. The AUD/</w:t>
      </w:r>
      <w:r w:rsidR="00A769F6" w:rsidRPr="00A769F6">
        <w:t>USD</w:t>
      </w:r>
      <w:r w:rsidR="00A22C87">
        <w:t xml:space="preserve"> </w:t>
      </w:r>
      <w:r w:rsidR="00981955">
        <w:t>strength</w:t>
      </w:r>
      <w:r w:rsidR="005D2FDE">
        <w:t>en</w:t>
      </w:r>
      <w:r w:rsidR="00A101AB">
        <w:t>ed</w:t>
      </w:r>
      <w:r w:rsidR="00A769F6" w:rsidRPr="00A769F6">
        <w:t xml:space="preserve"> from 0.6</w:t>
      </w:r>
      <w:r w:rsidR="00A101AB">
        <w:t>280</w:t>
      </w:r>
      <w:r w:rsidR="00A769F6" w:rsidRPr="00A769F6">
        <w:t xml:space="preserve"> to 0.6</w:t>
      </w:r>
      <w:r w:rsidR="00A101AB">
        <w:t>416</w:t>
      </w:r>
      <w:r w:rsidR="005D2FDE">
        <w:t xml:space="preserve"> (</w:t>
      </w:r>
      <w:r w:rsidR="00981955">
        <w:t>+</w:t>
      </w:r>
      <w:r w:rsidR="00A101AB">
        <w:t>2.17</w:t>
      </w:r>
      <w:r w:rsidR="005D2FDE">
        <w:t>%)</w:t>
      </w:r>
      <w:r w:rsidR="00A769F6" w:rsidRPr="00A769F6">
        <w:t>. The AUD/USD has since con</w:t>
      </w:r>
      <w:r w:rsidR="00A101AB">
        <w:t>solidated</w:t>
      </w:r>
      <w:r w:rsidR="00A22C87">
        <w:t xml:space="preserve"> </w:t>
      </w:r>
      <w:r w:rsidR="00A769F6" w:rsidRPr="00A769F6">
        <w:t xml:space="preserve">in recent trading </w:t>
      </w:r>
      <w:r w:rsidR="00A101AB">
        <w:t>at</w:t>
      </w:r>
      <w:r w:rsidR="00A22C87">
        <w:t xml:space="preserve"> 0.6</w:t>
      </w:r>
      <w:r w:rsidR="00A101AB">
        <w:t>408</w:t>
      </w:r>
      <w:r w:rsidR="00A22C87">
        <w:t xml:space="preserve"> </w:t>
      </w:r>
      <w:r w:rsidR="002344AE">
        <w:t>(</w:t>
      </w:r>
      <w:r w:rsidR="00A101AB">
        <w:t>-0.12</w:t>
      </w:r>
      <w:r w:rsidR="002344AE">
        <w:t xml:space="preserve">%) </w:t>
      </w:r>
      <w:r w:rsidR="00981955">
        <w:t>as at close of business 1</w:t>
      </w:r>
      <w:r w:rsidR="00A101AB">
        <w:t>5</w:t>
      </w:r>
      <w:r w:rsidR="00981955" w:rsidRPr="00981955">
        <w:rPr>
          <w:vertAlign w:val="superscript"/>
        </w:rPr>
        <w:t>th</w:t>
      </w:r>
      <w:r w:rsidR="00981955">
        <w:t xml:space="preserve"> </w:t>
      </w:r>
      <w:r w:rsidR="00A101AB">
        <w:t>May</w:t>
      </w:r>
      <w:r w:rsidR="00981955">
        <w:t xml:space="preserve"> 2025 </w:t>
      </w:r>
      <w:r w:rsidR="00A769F6" w:rsidRPr="00A769F6">
        <w:t xml:space="preserve">from the </w:t>
      </w:r>
      <w:r w:rsidR="00A101AB">
        <w:t>April</w:t>
      </w:r>
      <w:r w:rsidR="00A769F6" w:rsidRPr="00A769F6">
        <w:t xml:space="preserve"> month end close.</w:t>
      </w:r>
    </w:p>
    <w:p w14:paraId="2DCB7E32" w14:textId="49445CB7" w:rsidR="000678BF" w:rsidRDefault="00BC0503" w:rsidP="009E7EF6">
      <w:pPr>
        <w:spacing w:before="120" w:after="120" w:line="240" w:lineRule="auto"/>
      </w:pPr>
      <w:r w:rsidRPr="00BC0503">
        <w:t xml:space="preserve">The US has </w:t>
      </w:r>
      <w:r w:rsidR="00A22C87">
        <w:t xml:space="preserve">halted the </w:t>
      </w:r>
      <w:r w:rsidRPr="00BC0503">
        <w:t xml:space="preserve">easing bias in monetary policy </w:t>
      </w:r>
      <w:r w:rsidR="00A22C87">
        <w:t xml:space="preserve">by holding the </w:t>
      </w:r>
      <w:r w:rsidRPr="00BC0503">
        <w:t xml:space="preserve">target range for federal funds </w:t>
      </w:r>
      <w:r w:rsidR="00A22C87">
        <w:t>at</w:t>
      </w:r>
      <w:r w:rsidRPr="00BC0503">
        <w:t xml:space="preserve"> </w:t>
      </w:r>
      <w:r w:rsidRPr="00BC0503">
        <w:rPr>
          <w:b/>
          <w:bCs/>
        </w:rPr>
        <w:t>4.25%-4.50%</w:t>
      </w:r>
      <w:r w:rsidRPr="00BC0503">
        <w:t xml:space="preserve"> </w:t>
      </w:r>
      <w:r>
        <w:t xml:space="preserve">when it met on the </w:t>
      </w:r>
      <w:r w:rsidR="00706124">
        <w:t>19</w:t>
      </w:r>
      <w:r w:rsidR="000678BF">
        <w:t>/2</w:t>
      </w:r>
      <w:r w:rsidR="00706124">
        <w:t>0</w:t>
      </w:r>
      <w:r w:rsidRPr="00FC4FEF">
        <w:rPr>
          <w:vertAlign w:val="superscript"/>
        </w:rPr>
        <w:t>th</w:t>
      </w:r>
      <w:r>
        <w:t xml:space="preserve"> </w:t>
      </w:r>
      <w:r w:rsidR="00706124">
        <w:t>March</w:t>
      </w:r>
      <w:r>
        <w:t xml:space="preserve"> 202</w:t>
      </w:r>
      <w:r w:rsidR="000678BF">
        <w:t>5</w:t>
      </w:r>
      <w:r>
        <w:t>.</w:t>
      </w:r>
      <w:r w:rsidRPr="00BC0503">
        <w:t xml:space="preserve"> </w:t>
      </w:r>
      <w:r>
        <w:t>I</w:t>
      </w:r>
      <w:r w:rsidRPr="00BC0503">
        <w:t>nvestors are gaining more confidence that the economy is headed for a soft landing</w:t>
      </w:r>
      <w:r w:rsidR="002344AE">
        <w:t xml:space="preserve"> despite the intermittent </w:t>
      </w:r>
      <w:r w:rsidR="00D52F46">
        <w:t xml:space="preserve">bouts of </w:t>
      </w:r>
      <w:r w:rsidR="002344AE">
        <w:t>volatility</w:t>
      </w:r>
      <w:r w:rsidRPr="00BC0503">
        <w:t xml:space="preserve">. </w:t>
      </w:r>
    </w:p>
    <w:p w14:paraId="3EB233A4" w14:textId="66F94117" w:rsidR="00BC0503" w:rsidRDefault="00BC0503" w:rsidP="009E7EF6">
      <w:pPr>
        <w:spacing w:before="120" w:after="120" w:line="240" w:lineRule="auto"/>
      </w:pPr>
      <w:r w:rsidRPr="00BC0503">
        <w:t xml:space="preserve">The underlying </w:t>
      </w:r>
      <w:r w:rsidR="004A3955">
        <w:t xml:space="preserve">short-term </w:t>
      </w:r>
      <w:r w:rsidRPr="00BC0503">
        <w:t xml:space="preserve">theme is </w:t>
      </w:r>
      <w:r w:rsidR="005D2FDE" w:rsidRPr="004A3955">
        <w:rPr>
          <w:b/>
          <w:bCs/>
        </w:rPr>
        <w:t>uncertain</w:t>
      </w:r>
      <w:r w:rsidRPr="00BC0503">
        <w:t xml:space="preserve"> for shares</w:t>
      </w:r>
      <w:r w:rsidR="002344AE">
        <w:t>. T</w:t>
      </w:r>
      <w:r w:rsidRPr="00BC0503">
        <w:t xml:space="preserve">he sharp </w:t>
      </w:r>
      <w:r w:rsidR="002344AE">
        <w:t xml:space="preserve">Yo-Yo </w:t>
      </w:r>
      <w:r w:rsidRPr="00BC0503">
        <w:t>retracement moves in the market</w:t>
      </w:r>
      <w:r w:rsidR="009D7873">
        <w:t>s</w:t>
      </w:r>
      <w:r w:rsidRPr="00BC0503">
        <w:t xml:space="preserve"> in </w:t>
      </w:r>
      <w:r w:rsidR="002344AE">
        <w:t>April</w:t>
      </w:r>
      <w:r w:rsidR="000678BF">
        <w:t xml:space="preserve"> 202</w:t>
      </w:r>
      <w:r w:rsidR="005D2FDE">
        <w:t>5</w:t>
      </w:r>
      <w:r w:rsidRPr="00BC0503">
        <w:t xml:space="preserve"> </w:t>
      </w:r>
      <w:r w:rsidR="009D7873">
        <w:t>continues to</w:t>
      </w:r>
      <w:r w:rsidR="000678BF">
        <w:t xml:space="preserve"> </w:t>
      </w:r>
      <w:r w:rsidR="002344AE">
        <w:t xml:space="preserve">impact </w:t>
      </w:r>
      <w:r w:rsidR="00295529">
        <w:t xml:space="preserve">share </w:t>
      </w:r>
      <w:r w:rsidR="009D7873">
        <w:t xml:space="preserve">and bond </w:t>
      </w:r>
      <w:r w:rsidR="00295529">
        <w:t>prices</w:t>
      </w:r>
      <w:r w:rsidR="009D7873">
        <w:t>.</w:t>
      </w:r>
    </w:p>
    <w:p w14:paraId="6A0D8148" w14:textId="392BE297" w:rsidR="00B02125" w:rsidRPr="00BB456F" w:rsidRDefault="000035CC" w:rsidP="009E7EF6">
      <w:pPr>
        <w:spacing w:before="120" w:after="120" w:line="240" w:lineRule="auto"/>
        <w:rPr>
          <w:b/>
          <w:bCs/>
        </w:rPr>
      </w:pPr>
      <w:r w:rsidRPr="00BB456F">
        <w:rPr>
          <w:b/>
          <w:bCs/>
        </w:rPr>
        <w:t xml:space="preserve">Summary of </w:t>
      </w:r>
      <w:r w:rsidR="00BB456F">
        <w:rPr>
          <w:b/>
          <w:bCs/>
        </w:rPr>
        <w:t xml:space="preserve">global </w:t>
      </w:r>
      <w:r w:rsidRPr="00BB456F">
        <w:rPr>
          <w:b/>
          <w:bCs/>
        </w:rPr>
        <w:t>share returns</w:t>
      </w:r>
      <w:r w:rsidR="009718C7">
        <w:rPr>
          <w:b/>
          <w:bCs/>
        </w:rPr>
        <w:t xml:space="preserve"> in AUD terms</w:t>
      </w:r>
      <w:r w:rsidRPr="00BB456F">
        <w:rPr>
          <w:b/>
          <w:bCs/>
        </w:rPr>
        <w:t>:</w:t>
      </w:r>
    </w:p>
    <w:p w14:paraId="7204A7A0" w14:textId="6B4C1B2C" w:rsidR="00CB2DF1" w:rsidRDefault="009D7873" w:rsidP="00CB2DF1">
      <w:pPr>
        <w:spacing w:before="120" w:after="120" w:line="240" w:lineRule="auto"/>
        <w:jc w:val="center"/>
      </w:pPr>
      <w:r w:rsidRPr="009D7873">
        <w:rPr>
          <w:noProof/>
        </w:rPr>
        <w:drawing>
          <wp:inline distT="0" distB="0" distL="0" distR="0" wp14:anchorId="00686439" wp14:editId="2CF26CFE">
            <wp:extent cx="3931920" cy="1808480"/>
            <wp:effectExtent l="0" t="0" r="0" b="1270"/>
            <wp:docPr id="11945346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1920" cy="1808480"/>
                    </a:xfrm>
                    <a:prstGeom prst="rect">
                      <a:avLst/>
                    </a:prstGeom>
                    <a:noFill/>
                    <a:ln>
                      <a:noFill/>
                    </a:ln>
                  </pic:spPr>
                </pic:pic>
              </a:graphicData>
            </a:graphic>
          </wp:inline>
        </w:drawing>
      </w:r>
    </w:p>
    <w:p w14:paraId="37653ECA" w14:textId="7774F54C" w:rsidR="00FC4FEF" w:rsidRDefault="00FC4FEF" w:rsidP="00CB2DF1">
      <w:pPr>
        <w:spacing w:before="120" w:after="120" w:line="240" w:lineRule="auto"/>
        <w:jc w:val="center"/>
      </w:pPr>
      <w:r w:rsidRPr="001F3631">
        <w:rPr>
          <w:sz w:val="16"/>
          <w:szCs w:val="16"/>
        </w:rPr>
        <w:t xml:space="preserve">Data Source: Lonsec </w:t>
      </w:r>
      <w:r>
        <w:rPr>
          <w:sz w:val="16"/>
          <w:szCs w:val="16"/>
        </w:rPr>
        <w:t xml:space="preserve">as of </w:t>
      </w:r>
      <w:r w:rsidR="00D52F46">
        <w:rPr>
          <w:sz w:val="16"/>
          <w:szCs w:val="16"/>
        </w:rPr>
        <w:t>3</w:t>
      </w:r>
      <w:r w:rsidR="009D7873">
        <w:rPr>
          <w:sz w:val="16"/>
          <w:szCs w:val="16"/>
        </w:rPr>
        <w:t>0</w:t>
      </w:r>
      <w:r w:rsidR="009D7873" w:rsidRPr="009D7873">
        <w:rPr>
          <w:sz w:val="16"/>
          <w:szCs w:val="16"/>
          <w:vertAlign w:val="superscript"/>
        </w:rPr>
        <w:t>th</w:t>
      </w:r>
      <w:r w:rsidR="009D7873">
        <w:rPr>
          <w:sz w:val="16"/>
          <w:szCs w:val="16"/>
        </w:rPr>
        <w:t xml:space="preserve"> </w:t>
      </w:r>
      <w:proofErr w:type="gramStart"/>
      <w:r w:rsidR="009D7873">
        <w:rPr>
          <w:sz w:val="16"/>
          <w:szCs w:val="16"/>
        </w:rPr>
        <w:t>April</w:t>
      </w:r>
      <w:r w:rsidR="00295529">
        <w:rPr>
          <w:sz w:val="16"/>
          <w:szCs w:val="16"/>
        </w:rPr>
        <w:t xml:space="preserve"> </w:t>
      </w:r>
      <w:r>
        <w:rPr>
          <w:sz w:val="16"/>
          <w:szCs w:val="16"/>
          <w:vertAlign w:val="superscript"/>
        </w:rPr>
        <w:t xml:space="preserve"> </w:t>
      </w:r>
      <w:r>
        <w:rPr>
          <w:sz w:val="16"/>
          <w:szCs w:val="16"/>
        </w:rPr>
        <w:t>202</w:t>
      </w:r>
      <w:r w:rsidR="000678BF">
        <w:rPr>
          <w:sz w:val="16"/>
          <w:szCs w:val="16"/>
        </w:rPr>
        <w:t>5</w:t>
      </w:r>
      <w:proofErr w:type="gramEnd"/>
    </w:p>
    <w:p w14:paraId="3E617E0D" w14:textId="58F1D33B" w:rsidR="009718C7"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9718C7">
        <w:t xml:space="preserve">is showing </w:t>
      </w:r>
      <w:r w:rsidR="00435C10">
        <w:t xml:space="preserve">no </w:t>
      </w:r>
      <w:r w:rsidR="009718C7">
        <w:t xml:space="preserve">signs of abating </w:t>
      </w:r>
      <w:r w:rsidR="00435C10">
        <w:t>despite attempted peace talks</w:t>
      </w:r>
      <w:r w:rsidR="009718C7">
        <w:t>.</w:t>
      </w:r>
    </w:p>
    <w:p w14:paraId="4D1ADF38" w14:textId="208AA7C5" w:rsidR="00BD000B" w:rsidRDefault="00403EC7" w:rsidP="009E7EF6">
      <w:pPr>
        <w:spacing w:before="120" w:after="120" w:line="240" w:lineRule="auto"/>
      </w:pPr>
      <w:r>
        <w:lastRenderedPageBreak/>
        <w:t>U</w:t>
      </w:r>
      <w:r w:rsidR="00B700A9">
        <w:t>nfortunately,</w:t>
      </w:r>
      <w:r w:rsidR="00F24335">
        <w:t xml:space="preserve"> a resolution </w:t>
      </w:r>
      <w:r w:rsidR="0025751D">
        <w:t xml:space="preserve">to the </w:t>
      </w:r>
      <w:r w:rsidR="005200E9">
        <w:t xml:space="preserve">regional conflict </w:t>
      </w:r>
      <w:r w:rsidR="009718C7">
        <w:t>may be a</w:t>
      </w:r>
      <w:r w:rsidR="00F24335">
        <w:t xml:space="preserve"> way off </w:t>
      </w:r>
      <w:r w:rsidR="009718C7">
        <w:t>however</w:t>
      </w:r>
      <w:r w:rsidR="00D7423A">
        <w:t xml:space="preserve">, the underlying economies </w:t>
      </w:r>
      <w:r w:rsidR="005200E9">
        <w:t xml:space="preserve">elsewhere </w:t>
      </w:r>
      <w:r w:rsidR="00D7423A">
        <w:t xml:space="preserve">are emerging </w:t>
      </w:r>
      <w:r w:rsidR="005200E9">
        <w:t xml:space="preserve">with a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5041640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6F621A9F"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r w:rsidR="007077FC">
        <w:rPr>
          <w:b/>
          <w:bCs/>
        </w:rPr>
        <w:t>.</w:t>
      </w:r>
    </w:p>
    <w:p w14:paraId="78654FD1" w14:textId="6921C8DC"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w:t>
      </w:r>
      <w:r w:rsidR="00B562DB">
        <w:t>global volatility in markets</w:t>
      </w:r>
      <w:r>
        <w:t>.</w:t>
      </w:r>
    </w:p>
    <w:p w14:paraId="5B79F6A2" w14:textId="765E5CD4" w:rsidR="007077FC" w:rsidRDefault="007077FC" w:rsidP="003C40F3">
      <w:pPr>
        <w:pStyle w:val="ListParagraph"/>
        <w:numPr>
          <w:ilvl w:val="0"/>
          <w:numId w:val="6"/>
        </w:numPr>
        <w:spacing w:before="0" w:after="0" w:line="276" w:lineRule="auto"/>
        <w:ind w:left="357" w:hanging="357"/>
      </w:pPr>
      <w:r w:rsidRPr="007077FC">
        <w:rPr>
          <w:b/>
          <w:bCs/>
        </w:rPr>
        <w:t>US tariffs</w:t>
      </w:r>
      <w:r>
        <w:t xml:space="preserve"> and the impact on Australia’s exports</w:t>
      </w:r>
      <w:r w:rsidR="00B562DB">
        <w:t>.</w:t>
      </w:r>
    </w:p>
    <w:p w14:paraId="72D4FB61" w14:textId="2BFD9E75"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rsidR="009D7873">
        <w:t xml:space="preserve">was steady </w:t>
      </w:r>
      <w:r w:rsidR="00382D5C">
        <w:t xml:space="preserve">at </w:t>
      </w:r>
      <w:r w:rsidR="00CB2DF1" w:rsidRPr="007077FC">
        <w:rPr>
          <w:b/>
          <w:bCs/>
        </w:rPr>
        <w:t>2.</w:t>
      </w:r>
      <w:r w:rsidR="007077FC" w:rsidRPr="007077FC">
        <w:rPr>
          <w:b/>
          <w:bCs/>
        </w:rPr>
        <w:t>4</w:t>
      </w:r>
      <w:r w:rsidRPr="007077FC">
        <w:rPr>
          <w:b/>
          <w:bCs/>
        </w:rPr>
        <w:t>%</w:t>
      </w:r>
      <w:r>
        <w:t xml:space="preserve"> </w:t>
      </w:r>
      <w:r w:rsidR="009D7873">
        <w:t xml:space="preserve">unchanged </w:t>
      </w:r>
      <w:r>
        <w:t xml:space="preserve">in the </w:t>
      </w:r>
      <w:r w:rsidR="009D7873">
        <w:t>first</w:t>
      </w:r>
      <w:r>
        <w:t xml:space="preserve"> quarter of 202</w:t>
      </w:r>
      <w:r w:rsidR="009D7873">
        <w:t>5.</w:t>
      </w:r>
    </w:p>
    <w:p w14:paraId="5BA48DC4" w14:textId="3E3B3C2A" w:rsidR="00531BEC" w:rsidRPr="00531BEC" w:rsidRDefault="00531BEC" w:rsidP="003C40F3">
      <w:pPr>
        <w:pStyle w:val="ListParagraph"/>
        <w:numPr>
          <w:ilvl w:val="0"/>
          <w:numId w:val="6"/>
        </w:numPr>
        <w:spacing w:before="0" w:after="0" w:line="276" w:lineRule="auto"/>
        <w:ind w:left="357" w:hanging="357"/>
      </w:pPr>
      <w:r>
        <w:rPr>
          <w:b/>
          <w:bCs/>
        </w:rPr>
        <w:t xml:space="preserve">Government spending </w:t>
      </w:r>
      <w:r w:rsidRPr="00531BEC">
        <w:t>and the rising debt level.</w:t>
      </w:r>
    </w:p>
    <w:p w14:paraId="55B1C33B" w14:textId="77777777" w:rsidR="00515B71" w:rsidRDefault="00220A49" w:rsidP="00515B71">
      <w:pPr>
        <w:pStyle w:val="ListParagraph"/>
        <w:numPr>
          <w:ilvl w:val="0"/>
          <w:numId w:val="6"/>
        </w:numPr>
        <w:spacing w:before="120" w:after="120" w:line="276" w:lineRule="auto"/>
        <w:ind w:left="357" w:hanging="357"/>
      </w:pPr>
      <w:r w:rsidRPr="009D7873">
        <w:rPr>
          <w:b/>
          <w:bCs/>
        </w:rPr>
        <w:t>China growth prospects</w:t>
      </w:r>
      <w:r>
        <w:t xml:space="preserve"> –</w:t>
      </w:r>
      <w:r w:rsidR="00A87065" w:rsidRPr="00A87065">
        <w:t xml:space="preserve"> </w:t>
      </w:r>
      <w:r w:rsidR="002770F6">
        <w:t>T</w:t>
      </w:r>
      <w:r w:rsidR="00131EB9">
        <w:t>he P</w:t>
      </w:r>
      <w:r w:rsidR="002770F6">
        <w:t xml:space="preserve">eoples </w:t>
      </w:r>
      <w:r w:rsidR="00131EB9">
        <w:t>B</w:t>
      </w:r>
      <w:r w:rsidR="002770F6">
        <w:t xml:space="preserve">ank </w:t>
      </w:r>
      <w:r w:rsidR="00131EB9">
        <w:t>o</w:t>
      </w:r>
      <w:r w:rsidR="002770F6">
        <w:t xml:space="preserve">f </w:t>
      </w:r>
      <w:r w:rsidR="00131EB9">
        <w:t>C</w:t>
      </w:r>
      <w:r w:rsidR="002770F6">
        <w:t xml:space="preserve">hina </w:t>
      </w:r>
      <w:r w:rsidR="009D7873" w:rsidRPr="009D7873">
        <w:t>cut the seven-day reverse repurchase rates by 10 basis points to 1.4% from 1.5%, the People’s Bank of China Governor Pan Gongsheng said at a press briefing</w:t>
      </w:r>
      <w:r w:rsidR="009D7873">
        <w:t xml:space="preserve"> on the 6</w:t>
      </w:r>
      <w:r w:rsidR="009D7873" w:rsidRPr="009D7873">
        <w:rPr>
          <w:vertAlign w:val="superscript"/>
        </w:rPr>
        <w:t>th</w:t>
      </w:r>
      <w:r w:rsidR="009D7873">
        <w:t xml:space="preserve"> May 2025. </w:t>
      </w:r>
    </w:p>
    <w:p w14:paraId="6A92ADB0" w14:textId="26504382" w:rsidR="00515B71" w:rsidRPr="00515B71" w:rsidRDefault="009D7873" w:rsidP="00515B71">
      <w:pPr>
        <w:pStyle w:val="ListParagraph"/>
        <w:spacing w:before="120" w:after="120" w:line="276" w:lineRule="auto"/>
        <w:ind w:left="357"/>
      </w:pPr>
      <w:r w:rsidRPr="009D7873">
        <w:t>The central bank will also lower the reserve requirement ratio, which determines the amount of cash banks must hold in reserves, by 50 basis points, unleashing additional liquidity of 1 trillion yuan (</w:t>
      </w:r>
      <w:r>
        <w:t>US</w:t>
      </w:r>
      <w:r w:rsidRPr="009D7873">
        <w:t>$138.5 billion) to the market</w:t>
      </w:r>
      <w:r>
        <w:t>, effective 15</w:t>
      </w:r>
      <w:r w:rsidRPr="009D7873">
        <w:rPr>
          <w:vertAlign w:val="superscript"/>
        </w:rPr>
        <w:t>th</w:t>
      </w:r>
      <w:r>
        <w:t xml:space="preserve"> May 2025</w:t>
      </w:r>
      <w:r w:rsidRPr="009D7873">
        <w:t>.</w:t>
      </w:r>
      <w:r>
        <w:t xml:space="preserve"> </w:t>
      </w:r>
    </w:p>
    <w:p w14:paraId="46D6F0C5" w14:textId="4F08D21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t>A</w:t>
      </w:r>
      <w:r w:rsidR="009E7EF6" w:rsidRPr="00A040F8">
        <w:rPr>
          <w:rFonts w:asciiTheme="minorHAnsi" w:eastAsiaTheme="minorEastAsia" w:hAnsiTheme="minorHAnsi" w:cstheme="minorBidi"/>
          <w:iCs w:val="0"/>
          <w:color w:val="414042" w:themeColor="text1"/>
          <w:sz w:val="22"/>
          <w:lang w:val="en-AU" w:bidi="ar-SA"/>
        </w:rPr>
        <w:t>sset Class Returns</w:t>
      </w:r>
    </w:p>
    <w:p w14:paraId="39C4DEAF" w14:textId="75B0D4F4" w:rsidR="00193344" w:rsidRDefault="0010573F" w:rsidP="00515B71">
      <w:pPr>
        <w:rPr>
          <w:sz w:val="18"/>
        </w:rPr>
      </w:pPr>
      <w:r>
        <w:t xml:space="preserve">Returns across the various asset classes </w:t>
      </w:r>
      <w:r w:rsidR="00C5655B">
        <w:t xml:space="preserve">ended </w:t>
      </w:r>
      <w:r w:rsidR="00515B71">
        <w:t>mixed</w:t>
      </w:r>
      <w:r w:rsidR="00236F73">
        <w:t xml:space="preserve"> </w:t>
      </w:r>
      <w:r w:rsidR="0052476C">
        <w:t xml:space="preserve">over </w:t>
      </w:r>
      <w:r w:rsidR="00C5655B">
        <w:t>the month</w:t>
      </w:r>
      <w:r w:rsidR="004429BF">
        <w:t>:</w:t>
      </w:r>
      <w:r w:rsidR="00515B71" w:rsidRPr="00515B71">
        <w:rPr>
          <w:noProof/>
          <w:sz w:val="18"/>
        </w:rPr>
        <w:drawing>
          <wp:inline distT="0" distB="0" distL="0" distR="0" wp14:anchorId="69C6E088" wp14:editId="49842306">
            <wp:extent cx="3667760" cy="2934208"/>
            <wp:effectExtent l="0" t="0" r="8890" b="0"/>
            <wp:docPr id="9377040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1196" cy="2944957"/>
                    </a:xfrm>
                    <a:prstGeom prst="rect">
                      <a:avLst/>
                    </a:prstGeom>
                    <a:noFill/>
                    <a:ln>
                      <a:noFill/>
                    </a:ln>
                  </pic:spPr>
                </pic:pic>
              </a:graphicData>
            </a:graphic>
          </wp:inline>
        </w:drawing>
      </w:r>
    </w:p>
    <w:p w14:paraId="23E92196" w14:textId="2DE92B2D" w:rsidR="00193344" w:rsidRPr="00BE778B" w:rsidRDefault="00193344" w:rsidP="00193344">
      <w:pPr>
        <w:jc w:val="center"/>
        <w:rPr>
          <w:sz w:val="18"/>
        </w:rPr>
      </w:pPr>
      <w:bookmarkStart w:id="1" w:name="_Hlk535352886"/>
      <w:r w:rsidRPr="00A70A09">
        <w:rPr>
          <w:sz w:val="18"/>
        </w:rPr>
        <w:t>Source data: Lonsec as of</w:t>
      </w:r>
      <w:r>
        <w:rPr>
          <w:sz w:val="18"/>
        </w:rPr>
        <w:t xml:space="preserve"> </w:t>
      </w:r>
      <w:r w:rsidR="00B562DB">
        <w:rPr>
          <w:sz w:val="18"/>
        </w:rPr>
        <w:t>3</w:t>
      </w:r>
      <w:r w:rsidR="00515B71">
        <w:rPr>
          <w:sz w:val="18"/>
        </w:rPr>
        <w:t>0</w:t>
      </w:r>
      <w:r w:rsidR="00515B71" w:rsidRPr="00515B71">
        <w:rPr>
          <w:sz w:val="18"/>
          <w:vertAlign w:val="superscript"/>
        </w:rPr>
        <w:t>th</w:t>
      </w:r>
      <w:r w:rsidR="00515B71">
        <w:rPr>
          <w:sz w:val="18"/>
        </w:rPr>
        <w:t xml:space="preserve"> April</w:t>
      </w:r>
      <w:r>
        <w:rPr>
          <w:sz w:val="18"/>
        </w:rPr>
        <w:t xml:space="preserve"> 202</w:t>
      </w:r>
      <w:r w:rsidR="00726A15">
        <w:rPr>
          <w:sz w:val="18"/>
        </w:rPr>
        <w:t>5</w:t>
      </w:r>
    </w:p>
    <w:bookmarkEnd w:id="1"/>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61F2BEFE"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mains on</w:t>
      </w:r>
      <w:r w:rsidR="008A1580">
        <w:t xml:space="preserve"> </w:t>
      </w:r>
      <w:r w:rsidR="008A1580" w:rsidRPr="008A1580">
        <w:rPr>
          <w:b/>
          <w:bCs/>
        </w:rPr>
        <w:t>US tariffs</w:t>
      </w:r>
      <w:r w:rsidR="008A1580">
        <w:t>,</w:t>
      </w:r>
      <w:r w:rsidR="002B61FC">
        <w:t xml:space="preserve"> </w:t>
      </w:r>
      <w:r w:rsidR="00B23557" w:rsidRPr="00752356">
        <w:rPr>
          <w:b/>
          <w:bCs/>
        </w:rPr>
        <w:t>inflation</w:t>
      </w:r>
      <w:r w:rsidR="0089317F">
        <w:rPr>
          <w:b/>
          <w:bCs/>
        </w:rPr>
        <w:t xml:space="preserve">, </w:t>
      </w:r>
      <w:r w:rsidR="00DE11E9">
        <w:rPr>
          <w:b/>
          <w:bCs/>
        </w:rPr>
        <w:t>employment,</w:t>
      </w:r>
      <w:r w:rsidR="0089317F">
        <w:rPr>
          <w:b/>
          <w:bCs/>
        </w:rPr>
        <w:t xml:space="preserve"> </w:t>
      </w:r>
      <w:r w:rsidR="003C5801" w:rsidRPr="003C5801">
        <w:t xml:space="preserve">and </w:t>
      </w:r>
      <w:r w:rsidR="005738C3">
        <w:rPr>
          <w:b/>
          <w:bCs/>
        </w:rPr>
        <w:t>interest rate</w:t>
      </w:r>
      <w:r w:rsidR="008A1580">
        <w:rPr>
          <w:b/>
          <w:bCs/>
        </w:rPr>
        <w:t>s</w:t>
      </w:r>
      <w:r w:rsidR="00BC16B8">
        <w:rPr>
          <w:b/>
          <w:bCs/>
        </w:rPr>
        <w:t>.</w:t>
      </w:r>
      <w:r w:rsidR="00937E69">
        <w:t xml:space="preserve"> </w:t>
      </w:r>
      <w:r w:rsidR="007343AC">
        <w:t>Unhedged g</w:t>
      </w:r>
      <w:r w:rsidR="00557108">
        <w:t xml:space="preserve">lobal shares </w:t>
      </w:r>
      <w:r w:rsidR="005738C3">
        <w:t xml:space="preserve">had returns </w:t>
      </w:r>
      <w:r w:rsidR="00F4622D">
        <w:t xml:space="preserve">were affected by a </w:t>
      </w:r>
      <w:r w:rsidR="008A1580">
        <w:t>strength</w:t>
      </w:r>
      <w:r w:rsidR="00382D5C">
        <w:t>en</w:t>
      </w:r>
      <w:r w:rsidR="005738C3">
        <w:t>ing</w:t>
      </w:r>
      <w:r w:rsidR="004B2806">
        <w:t xml:space="preserve"> </w:t>
      </w:r>
      <w:r w:rsidR="00F4622D">
        <w:t>AUD/USD</w:t>
      </w:r>
      <w:r w:rsidR="00557108">
        <w:t xml:space="preserve"> (0.</w:t>
      </w:r>
      <w:r w:rsidR="00382D5C">
        <w:t>6</w:t>
      </w:r>
      <w:r w:rsidR="002B74FE">
        <w:t>416</w:t>
      </w:r>
      <w:r w:rsidR="005738C3">
        <w:t xml:space="preserve"> </w:t>
      </w:r>
      <w:r w:rsidR="005A428D">
        <w:t>from</w:t>
      </w:r>
      <w:r w:rsidR="00557108">
        <w:t xml:space="preserve"> 0.6</w:t>
      </w:r>
      <w:r w:rsidR="002B74FE">
        <w:t>280</w:t>
      </w:r>
      <w:r w:rsidR="00557108">
        <w:t xml:space="preserve">) which had </w:t>
      </w:r>
      <w:r w:rsidR="0083662A">
        <w:t>a</w:t>
      </w:r>
      <w:r w:rsidR="00557108">
        <w:t xml:space="preserve"> </w:t>
      </w:r>
      <w:r w:rsidR="00012004" w:rsidRPr="00012004">
        <w:rPr>
          <w:b/>
          <w:bCs/>
        </w:rPr>
        <w:t>negative</w:t>
      </w:r>
      <w:r w:rsidR="00557108" w:rsidRPr="00012004">
        <w:rPr>
          <w:b/>
          <w:bCs/>
        </w:rPr>
        <w:t xml:space="preserve"> </w:t>
      </w:r>
      <w:r w:rsidR="00557108" w:rsidRPr="00D33FFE">
        <w:rPr>
          <w:b/>
          <w:bCs/>
        </w:rPr>
        <w:t>impact</w:t>
      </w:r>
      <w:r w:rsidR="00557108" w:rsidRPr="00AE1347">
        <w:rPr>
          <w:b/>
          <w:bCs/>
        </w:rPr>
        <w:t xml:space="preserve"> of </w:t>
      </w:r>
      <w:r w:rsidR="00F65F3F" w:rsidRPr="00AE1347">
        <w:rPr>
          <w:b/>
          <w:bCs/>
        </w:rPr>
        <w:t>(</w:t>
      </w:r>
      <w:r w:rsidR="00012004">
        <w:rPr>
          <w:b/>
          <w:bCs/>
        </w:rPr>
        <w:t>-</w:t>
      </w:r>
      <w:r w:rsidR="00BC16B8">
        <w:rPr>
          <w:b/>
          <w:bCs/>
        </w:rPr>
        <w:t>2.17</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66568C8E" w:rsidR="00317447" w:rsidRDefault="002B74FE" w:rsidP="00CC263B">
      <w:pPr>
        <w:jc w:val="center"/>
        <w:rPr>
          <w:sz w:val="18"/>
        </w:rPr>
      </w:pPr>
      <w:r w:rsidRPr="002B74FE">
        <w:rPr>
          <w:noProof/>
          <w:sz w:val="18"/>
        </w:rPr>
        <w:drawing>
          <wp:inline distT="0" distB="0" distL="0" distR="0" wp14:anchorId="2C4C9540" wp14:editId="2AFA7B3D">
            <wp:extent cx="4648200" cy="3281680"/>
            <wp:effectExtent l="0" t="0" r="0" b="0"/>
            <wp:docPr id="16177891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3281680"/>
                    </a:xfrm>
                    <a:prstGeom prst="rect">
                      <a:avLst/>
                    </a:prstGeom>
                    <a:noFill/>
                    <a:ln>
                      <a:noFill/>
                    </a:ln>
                  </pic:spPr>
                </pic:pic>
              </a:graphicData>
            </a:graphic>
          </wp:inline>
        </w:drawing>
      </w:r>
    </w:p>
    <w:p w14:paraId="1D14B791" w14:textId="5744408C" w:rsidR="00CC263B" w:rsidRPr="00BE778B" w:rsidRDefault="00CC263B" w:rsidP="00CC263B">
      <w:pPr>
        <w:jc w:val="center"/>
        <w:rPr>
          <w:sz w:val="18"/>
        </w:rPr>
      </w:pPr>
      <w:r w:rsidRPr="00A70A09">
        <w:rPr>
          <w:sz w:val="18"/>
        </w:rPr>
        <w:t>Source data: Lonsec as of</w:t>
      </w:r>
      <w:r>
        <w:rPr>
          <w:sz w:val="18"/>
        </w:rPr>
        <w:t xml:space="preserve"> </w:t>
      </w:r>
      <w:r w:rsidR="00012004">
        <w:rPr>
          <w:sz w:val="18"/>
        </w:rPr>
        <w:t>3</w:t>
      </w:r>
      <w:r w:rsidR="002B74FE">
        <w:rPr>
          <w:sz w:val="18"/>
        </w:rPr>
        <w:t>0</w:t>
      </w:r>
      <w:r w:rsidR="002B74FE" w:rsidRPr="002B74FE">
        <w:rPr>
          <w:sz w:val="18"/>
          <w:vertAlign w:val="superscript"/>
        </w:rPr>
        <w:t>th</w:t>
      </w:r>
      <w:r w:rsidR="002B74FE">
        <w:rPr>
          <w:sz w:val="18"/>
        </w:rPr>
        <w:t xml:space="preserve"> April</w:t>
      </w:r>
      <w:r>
        <w:rPr>
          <w:sz w:val="18"/>
        </w:rPr>
        <w:t xml:space="preserve"> 202</w:t>
      </w:r>
      <w:r w:rsidR="00D21E02">
        <w:rPr>
          <w:sz w:val="18"/>
        </w:rPr>
        <w:t>5</w:t>
      </w:r>
    </w:p>
    <w:p w14:paraId="114DA578" w14:textId="1ED94D9F"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D33FFE">
        <w:t>-</w:t>
      </w:r>
      <w:r w:rsidR="002B74FE">
        <w:t>1.79</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D33FFE">
        <w:t>-</w:t>
      </w:r>
      <w:r w:rsidR="002B74FE">
        <w:t>3.27</w:t>
      </w:r>
      <w:r w:rsidR="009E7EF6">
        <w:t>%)</w:t>
      </w:r>
      <w:r w:rsidR="00E51A06">
        <w:t xml:space="preserve">, </w:t>
      </w:r>
      <w:r w:rsidR="009E7EF6">
        <w:t>Asia ex Japan (</w:t>
      </w:r>
      <w:r w:rsidR="00334DDF">
        <w:t>-</w:t>
      </w:r>
      <w:r w:rsidR="002B74FE">
        <w:t>1.05</w:t>
      </w:r>
      <w:r w:rsidR="009E7EF6">
        <w:t>%)</w:t>
      </w:r>
      <w:r w:rsidR="00E51A06">
        <w:t>,</w:t>
      </w:r>
      <w:r w:rsidR="009E7EF6">
        <w:t xml:space="preserve"> Japan (</w:t>
      </w:r>
      <w:r w:rsidR="00334DDF">
        <w:t>+</w:t>
      </w:r>
      <w:r w:rsidR="002B74FE">
        <w:t>2.49</w:t>
      </w:r>
      <w:r w:rsidR="009E7EF6">
        <w:t>%)</w:t>
      </w:r>
      <w:r w:rsidR="00E51A06">
        <w:t>,</w:t>
      </w:r>
      <w:r w:rsidR="009E7EF6">
        <w:t xml:space="preserve"> the UK (</w:t>
      </w:r>
      <w:r w:rsidR="002B74FE">
        <w:t>-0.02</w:t>
      </w:r>
      <w:r w:rsidR="009E7EF6">
        <w:t>%)</w:t>
      </w:r>
      <w:r w:rsidR="00E51A06">
        <w:t>,</w:t>
      </w:r>
      <w:r w:rsidR="009E7EF6">
        <w:t xml:space="preserve"> Europe</w:t>
      </w:r>
      <w:r w:rsidR="00776C10">
        <w:t xml:space="preserve"> </w:t>
      </w:r>
      <w:r w:rsidR="00E51A06">
        <w:t>(</w:t>
      </w:r>
      <w:r w:rsidR="002B74FE">
        <w:t>+1.81</w:t>
      </w:r>
      <w:r w:rsidR="005909DA">
        <w:t>%</w:t>
      </w:r>
      <w:r w:rsidR="00E51A06">
        <w:t xml:space="preserve">) </w:t>
      </w:r>
      <w:r w:rsidR="00776C10">
        <w:t>and</w:t>
      </w:r>
      <w:r w:rsidR="009E7EF6">
        <w:t xml:space="preserve"> </w:t>
      </w:r>
      <w:r w:rsidR="00776C10">
        <w:t>the Emerging Markets</w:t>
      </w:r>
      <w:r w:rsidR="00E51A06">
        <w:t xml:space="preserve"> (</w:t>
      </w:r>
      <w:r w:rsidR="002B74FE">
        <w:t>-1.30</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253BD85F" w:rsidR="00752610" w:rsidRDefault="00802B2D" w:rsidP="00080677">
      <w:r>
        <w:t xml:space="preserve">Australian </w:t>
      </w:r>
      <w:r w:rsidR="00D019FE">
        <w:t xml:space="preserve">shares </w:t>
      </w:r>
      <w:r w:rsidR="00317447">
        <w:t xml:space="preserve">posted </w:t>
      </w:r>
      <w:r w:rsidR="005B45E9">
        <w:t>negat</w:t>
      </w:r>
      <w:r w:rsidR="00BB456F">
        <w:t>ive</w:t>
      </w:r>
      <w:r w:rsidR="009D2BC7">
        <w:t xml:space="preserve"> returns </w:t>
      </w:r>
      <w:r w:rsidR="00DA2BBC">
        <w:t xml:space="preserve">reflecting the </w:t>
      </w:r>
      <w:r w:rsidR="005B45E9">
        <w:t>global</w:t>
      </w:r>
      <w:r w:rsidR="00B755CF">
        <w:t xml:space="preserve"> </w:t>
      </w:r>
      <w:r w:rsidR="00BB456F">
        <w:t>market</w:t>
      </w:r>
      <w:r w:rsidR="00B755CF">
        <w:t xml:space="preserve">s </w:t>
      </w:r>
      <w:r w:rsidR="005B45E9">
        <w:t xml:space="preserve">trend </w:t>
      </w:r>
      <w:r w:rsidR="00B755CF">
        <w:t xml:space="preserve">and </w:t>
      </w:r>
      <w:r w:rsidR="005B45E9">
        <w:t xml:space="preserve">tariff </w:t>
      </w:r>
      <w:r w:rsidR="002D285D">
        <w:t>impact</w:t>
      </w:r>
      <w:r w:rsidR="005B45E9">
        <w:t xml:space="preserve">. </w:t>
      </w:r>
      <w:r w:rsidR="009D26B6">
        <w:t>Sh</w:t>
      </w:r>
      <w:r w:rsidR="00965252">
        <w:t xml:space="preserve">ares </w:t>
      </w:r>
      <w:r w:rsidR="00EF6467">
        <w:t>finished</w:t>
      </w:r>
      <w:r w:rsidR="009D26B6">
        <w:t xml:space="preserve"> </w:t>
      </w:r>
      <w:r w:rsidR="000E3566">
        <w:t>(</w:t>
      </w:r>
      <w:r w:rsidR="005B45E9">
        <w:t>-3.</w:t>
      </w:r>
      <w:r w:rsidR="002D285D">
        <w:t>3</w:t>
      </w:r>
      <w:r w:rsidR="005B45E9">
        <w:t>9</w:t>
      </w:r>
      <w:r w:rsidR="000E3566">
        <w:t>%) for the month</w:t>
      </w:r>
      <w:r w:rsidR="0089710F">
        <w:t xml:space="preserve"> and (</w:t>
      </w:r>
      <w:r w:rsidR="005B45E9">
        <w:t>-2.</w:t>
      </w:r>
      <w:r w:rsidR="002D285D">
        <w:t>80</w:t>
      </w:r>
      <w:r w:rsidR="0089710F">
        <w:t>%) over the last three months</w:t>
      </w:r>
      <w:r w:rsidR="00992554">
        <w:t>.</w:t>
      </w:r>
      <w:r w:rsidR="000E3566">
        <w:t xml:space="preserve"> </w:t>
      </w:r>
    </w:p>
    <w:p w14:paraId="6D122B4F" w14:textId="0D4FA6EB" w:rsidR="00D96147" w:rsidRDefault="00992554" w:rsidP="00080677">
      <w:r>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2225906B" w:rsidR="009D26B6" w:rsidRPr="009D2BC7" w:rsidRDefault="009D26B6" w:rsidP="003C40F3">
      <w:pPr>
        <w:pStyle w:val="ListParagraph"/>
        <w:numPr>
          <w:ilvl w:val="0"/>
          <w:numId w:val="7"/>
        </w:numPr>
      </w:pPr>
      <w:r w:rsidRPr="009D2BC7">
        <w:rPr>
          <w:b/>
          <w:bCs/>
        </w:rPr>
        <w:t>Consumer confidence</w:t>
      </w:r>
      <w:r w:rsidRPr="009D2BC7">
        <w:t xml:space="preserve"> </w:t>
      </w:r>
      <w:r w:rsidR="00DE11E9" w:rsidRPr="009D2BC7">
        <w:t>posts</w:t>
      </w:r>
      <w:r w:rsidRPr="009D2BC7">
        <w:t xml:space="preserve"> the </w:t>
      </w:r>
      <w:r w:rsidR="00DE11E9">
        <w:t>tariffs;</w:t>
      </w:r>
      <w:r w:rsidR="002D285D">
        <w:t xml:space="preserve"> </w:t>
      </w:r>
      <w:r w:rsidR="004F220F">
        <w:t xml:space="preserve">offshore </w:t>
      </w:r>
      <w:r w:rsidRPr="009D2BC7">
        <w:t>interest rate</w:t>
      </w:r>
      <w:r w:rsidR="004F220F">
        <w:t xml:space="preserve"> changes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lastRenderedPageBreak/>
        <w:t>Mortgage stress</w:t>
      </w:r>
      <w:r>
        <w:t xml:space="preserve"> and the </w:t>
      </w:r>
      <w:r w:rsidR="00F43A7D">
        <w:t>impact</w:t>
      </w:r>
      <w:r>
        <w:t xml:space="preserve"> on </w:t>
      </w:r>
      <w:r w:rsidR="00965252">
        <w:t>domestic house prices</w:t>
      </w:r>
      <w:r w:rsidR="00D24497">
        <w:t xml:space="preserve"> and banks</w:t>
      </w:r>
      <w:r>
        <w:t>.</w:t>
      </w:r>
    </w:p>
    <w:p w14:paraId="2733ED20" w14:textId="30D7B0B3"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response </w:t>
      </w:r>
      <w:r w:rsidR="00395F1F">
        <w:t xml:space="preserve">by the </w:t>
      </w:r>
      <w:r w:rsidR="00107166">
        <w:t>Central Banks to hold back on further easing of interest rates</w:t>
      </w:r>
      <w:r w:rsidR="00A85041">
        <w:t xml:space="preserve"> given the market volatility and uncertainty around the US tariffs</w:t>
      </w:r>
      <w:r w:rsidR="00107166">
        <w:t>.</w:t>
      </w:r>
    </w:p>
    <w:p w14:paraId="41F529C9" w14:textId="7E25B329" w:rsidR="00AF697A" w:rsidRDefault="0089710F" w:rsidP="00AF697A">
      <w:r>
        <w:t>C</w:t>
      </w:r>
      <w:r w:rsidR="00E05A34">
        <w:t>om</w:t>
      </w:r>
      <w:r w:rsidR="009E7EF6" w:rsidRPr="00F90325">
        <w:t xml:space="preserve">modity markets </w:t>
      </w:r>
      <w:r w:rsidR="00457450">
        <w:t>ended</w:t>
      </w:r>
      <w:r w:rsidR="00E32E30">
        <w:t xml:space="preserve"> </w:t>
      </w:r>
      <w:r w:rsidR="009F0A63">
        <w:t>mixed</w:t>
      </w:r>
      <w:r w:rsidR="00FC5F13">
        <w:t xml:space="preserve"> </w:t>
      </w:r>
      <w:r w:rsidR="0056303E">
        <w:t xml:space="preserve">with </w:t>
      </w:r>
      <w:r w:rsidR="009E7EF6" w:rsidRPr="00F90325">
        <w:t>Iron Ore clos</w:t>
      </w:r>
      <w:r w:rsidR="00040E36">
        <w:t>ing</w:t>
      </w:r>
      <w:r w:rsidR="009E7EF6" w:rsidRPr="00F90325">
        <w:t xml:space="preserve"> at US$</w:t>
      </w:r>
      <w:r w:rsidR="00A85041">
        <w:t>99.76</w:t>
      </w:r>
      <w:r w:rsidR="009E7EF6" w:rsidRPr="00F90325">
        <w:t xml:space="preserve"> </w:t>
      </w:r>
      <w:r w:rsidR="006D3802">
        <w:t xml:space="preserve">per tonne </w:t>
      </w:r>
      <w:r w:rsidR="00910A84">
        <w:t xml:space="preserve">at the end of </w:t>
      </w:r>
      <w:r w:rsidR="00A85041">
        <w:t>April</w:t>
      </w:r>
      <w:r w:rsidR="00AA627D">
        <w:t xml:space="preserve"> 202</w:t>
      </w:r>
      <w:r w:rsidR="00B755CF">
        <w:t>5</w:t>
      </w:r>
      <w:r w:rsidR="00910A84">
        <w:t xml:space="preserve"> </w:t>
      </w:r>
      <w:r w:rsidR="00A85A05" w:rsidRPr="00F90325">
        <w:t xml:space="preserve">with </w:t>
      </w:r>
      <w:r w:rsidR="00910A84">
        <w:t xml:space="preserve">a </w:t>
      </w:r>
      <w:r w:rsidR="00A85A05" w:rsidRPr="00F90325">
        <w:t xml:space="preserve">monthly </w:t>
      </w:r>
      <w:r w:rsidR="002D285D">
        <w:t>loss</w:t>
      </w:r>
      <w:r w:rsidR="00D62349">
        <w:t xml:space="preserve"> </w:t>
      </w:r>
      <w:r w:rsidR="00A3027F">
        <w:t>of</w:t>
      </w:r>
      <w:r w:rsidR="00A85A05" w:rsidRPr="00F90325">
        <w:t xml:space="preserve"> (</w:t>
      </w:r>
      <w:r w:rsidR="002D285D">
        <w:t>-</w:t>
      </w:r>
      <w:r w:rsidR="00A85041">
        <w:t>2.68</w:t>
      </w:r>
      <w:r w:rsidR="00A85A05" w:rsidRPr="00F90325">
        <w:t xml:space="preserve">%) </w:t>
      </w:r>
      <w:r w:rsidR="00FC5F13">
        <w:t xml:space="preserve">and </w:t>
      </w:r>
      <w:r w:rsidR="002D285D">
        <w:t xml:space="preserve">falls </w:t>
      </w:r>
      <w:r w:rsidR="00C44EA9">
        <w:t xml:space="preserve">of </w:t>
      </w:r>
      <w:r w:rsidR="009E7EF6" w:rsidRPr="00F90325">
        <w:t>(</w:t>
      </w:r>
      <w:r w:rsidR="002D285D">
        <w:t>-1.</w:t>
      </w:r>
      <w:r w:rsidR="00A85041">
        <w:t>80</w:t>
      </w:r>
      <w:r w:rsidR="00E95AF9">
        <w:t xml:space="preserve">%) </w:t>
      </w:r>
      <w:r w:rsidR="009E7EF6" w:rsidRPr="00F90325">
        <w:t xml:space="preserve">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A85041">
        <w:t>sharply lower</w:t>
      </w:r>
      <w:r w:rsidR="008F7018" w:rsidRPr="00F90325">
        <w:t xml:space="preserve"> at US$</w:t>
      </w:r>
      <w:r w:rsidR="00A85041">
        <w:t>58.21</w:t>
      </w:r>
      <w:r w:rsidR="008F7018" w:rsidRPr="00F90325">
        <w:t xml:space="preserve"> </w:t>
      </w:r>
      <w:r w:rsidR="008F7018">
        <w:t xml:space="preserve">a barrel </w:t>
      </w:r>
      <w:r w:rsidR="008F7018" w:rsidRPr="00F90325">
        <w:t>at the end o</w:t>
      </w:r>
      <w:r w:rsidR="008F7018">
        <w:t>f</w:t>
      </w:r>
      <w:r w:rsidR="008F7018" w:rsidRPr="00F90325">
        <w:t xml:space="preserve"> </w:t>
      </w:r>
      <w:r w:rsidR="00A85041">
        <w:t>April</w:t>
      </w:r>
      <w:r w:rsidR="00AA627D">
        <w:t xml:space="preserve"> 202</w:t>
      </w:r>
      <w:r w:rsidR="00B755CF">
        <w:t>5</w:t>
      </w:r>
      <w:r w:rsidR="008F7018" w:rsidRPr="00F90325">
        <w:t xml:space="preserve"> </w:t>
      </w:r>
      <w:r w:rsidR="008F7018">
        <w:t>resulting in</w:t>
      </w:r>
      <w:r w:rsidR="008F7018" w:rsidRPr="00F90325">
        <w:t xml:space="preserve"> </w:t>
      </w:r>
      <w:r w:rsidR="00A85041">
        <w:t>losses</w:t>
      </w:r>
      <w:r w:rsidR="006C68B8">
        <w:t xml:space="preserve"> of</w:t>
      </w:r>
      <w:r w:rsidR="008F7018" w:rsidRPr="00F90325">
        <w:t xml:space="preserve"> (</w:t>
      </w:r>
      <w:r w:rsidR="00A85041">
        <w:t>-18.46</w:t>
      </w:r>
      <w:r w:rsidR="00E77097">
        <w:t>%</w:t>
      </w:r>
      <w:r w:rsidR="008F7018" w:rsidRPr="00F90325">
        <w:t xml:space="preserve">) for the month </w:t>
      </w:r>
      <w:r w:rsidR="00107972">
        <w:t xml:space="preserve">and </w:t>
      </w:r>
      <w:r w:rsidR="00B0367E">
        <w:t>down</w:t>
      </w:r>
      <w:r w:rsidR="00F93701">
        <w:t xml:space="preserve"> </w:t>
      </w:r>
      <w:r w:rsidR="008F7018" w:rsidRPr="00F90325">
        <w:t>(</w:t>
      </w:r>
      <w:r w:rsidR="00B0367E">
        <w:t>-</w:t>
      </w:r>
      <w:r w:rsidR="00A85041">
        <w:t>19.74</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127F8A9B" w:rsidR="009E7EF6" w:rsidRPr="00AF697A" w:rsidRDefault="009E7EF6" w:rsidP="00AF697A">
      <w:pPr>
        <w:rPr>
          <w:b/>
          <w:bCs/>
          <w:iCs/>
        </w:rPr>
      </w:pPr>
      <w:r w:rsidRPr="00AF697A">
        <w:rPr>
          <w:b/>
          <w:bCs/>
        </w:rPr>
        <w:t>Australian Industry Returns</w:t>
      </w:r>
      <w:r w:rsidRPr="00AF697A">
        <w:rPr>
          <w:b/>
          <w:bCs/>
        </w:rPr>
        <w:tab/>
      </w:r>
    </w:p>
    <w:p w14:paraId="1130FA96" w14:textId="366DB215"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3F6017">
        <w:t>April</w:t>
      </w:r>
      <w:r w:rsidR="00AA627D">
        <w:t xml:space="preserve"> 202</w:t>
      </w:r>
      <w:r w:rsidR="00224632">
        <w:t>5</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1744F24C" w14:textId="2A10132F" w:rsidR="00AF697A" w:rsidRDefault="003F6017" w:rsidP="00193344">
      <w:pPr>
        <w:spacing w:before="120" w:after="120"/>
        <w:jc w:val="center"/>
      </w:pPr>
      <w:r w:rsidRPr="003F6017">
        <w:rPr>
          <w:noProof/>
        </w:rPr>
        <w:drawing>
          <wp:inline distT="0" distB="0" distL="0" distR="0" wp14:anchorId="38E26CE8" wp14:editId="16327DC8">
            <wp:extent cx="4018280" cy="3611880"/>
            <wp:effectExtent l="0" t="0" r="1270" b="7620"/>
            <wp:docPr id="17440350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8280" cy="3611880"/>
                    </a:xfrm>
                    <a:prstGeom prst="rect">
                      <a:avLst/>
                    </a:prstGeom>
                    <a:noFill/>
                    <a:ln>
                      <a:noFill/>
                    </a:ln>
                  </pic:spPr>
                </pic:pic>
              </a:graphicData>
            </a:graphic>
          </wp:inline>
        </w:drawing>
      </w:r>
    </w:p>
    <w:p w14:paraId="70580A2B" w14:textId="71FE99C1" w:rsidR="00193344" w:rsidRPr="00BE778B" w:rsidRDefault="00193344" w:rsidP="00193344">
      <w:pPr>
        <w:jc w:val="center"/>
        <w:rPr>
          <w:sz w:val="18"/>
        </w:rPr>
      </w:pPr>
      <w:r w:rsidRPr="00A70A09">
        <w:rPr>
          <w:sz w:val="18"/>
        </w:rPr>
        <w:t>Source data: Lonsec as of</w:t>
      </w:r>
      <w:r>
        <w:rPr>
          <w:sz w:val="18"/>
        </w:rPr>
        <w:t xml:space="preserve"> </w:t>
      </w:r>
      <w:r w:rsidR="00966CD8">
        <w:rPr>
          <w:sz w:val="18"/>
        </w:rPr>
        <w:t>3</w:t>
      </w:r>
      <w:r w:rsidR="003F6017">
        <w:rPr>
          <w:sz w:val="18"/>
        </w:rPr>
        <w:t>0</w:t>
      </w:r>
      <w:r w:rsidR="003F6017" w:rsidRPr="003F6017">
        <w:rPr>
          <w:sz w:val="18"/>
          <w:vertAlign w:val="superscript"/>
        </w:rPr>
        <w:t>th</w:t>
      </w:r>
      <w:r w:rsidR="003F6017">
        <w:rPr>
          <w:sz w:val="18"/>
        </w:rPr>
        <w:t xml:space="preserve"> April</w:t>
      </w:r>
      <w:r>
        <w:rPr>
          <w:sz w:val="18"/>
        </w:rPr>
        <w:t xml:space="preserve"> 202</w:t>
      </w:r>
      <w:r w:rsidR="00224632">
        <w:rPr>
          <w:sz w:val="18"/>
        </w:rPr>
        <w:t>5</w:t>
      </w:r>
    </w:p>
    <w:p w14:paraId="58FD09A7" w14:textId="19F83148" w:rsidR="009E7EF6" w:rsidRDefault="003F6017" w:rsidP="009E7EF6">
      <w:pPr>
        <w:spacing w:before="120" w:after="120"/>
      </w:pPr>
      <w:r>
        <w:t xml:space="preserve">Information Technology </w:t>
      </w:r>
      <w:r w:rsidR="004C4389">
        <w:rPr>
          <w:noProof/>
        </w:rPr>
        <w:t>was</w:t>
      </w:r>
      <w:r w:rsidR="00AF697A">
        <w:rPr>
          <w:noProof/>
        </w:rPr>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rsidR="009E7EF6">
        <w:t>(</w:t>
      </w:r>
      <w:r w:rsidR="00D46064">
        <w:t>+</w:t>
      </w:r>
      <w:r>
        <w:t>6.37</w:t>
      </w:r>
      <w:r w:rsidR="009E7EF6">
        <w:t>%)</w:t>
      </w:r>
      <w:r w:rsidR="00757323">
        <w:t>.</w:t>
      </w:r>
    </w:p>
    <w:p w14:paraId="1BD9D657" w14:textId="627A41E1" w:rsidR="00BF751B" w:rsidRDefault="003F6017" w:rsidP="00BF751B">
      <w:pPr>
        <w:spacing w:before="120" w:after="120"/>
      </w:pPr>
      <w:r>
        <w:t>Energy was</w:t>
      </w:r>
      <w:r w:rsidR="00C041DA">
        <w:t xml:space="preserve"> the </w:t>
      </w:r>
      <w:r w:rsidR="006D5106">
        <w:t xml:space="preserve">worst performing sector </w:t>
      </w:r>
      <w:r w:rsidR="00B700A9">
        <w:t>finishing</w:t>
      </w:r>
      <w:r w:rsidR="0058757B">
        <w:t xml:space="preserve"> </w:t>
      </w:r>
      <w:r w:rsidR="00BF751B">
        <w:t>(</w:t>
      </w:r>
      <w:r w:rsidR="00053887">
        <w:t>-</w:t>
      </w:r>
      <w:r>
        <w:t>7.22</w:t>
      </w:r>
      <w:r w:rsidR="00BF751B">
        <w:t>%</w:t>
      </w:r>
      <w:r w:rsidR="004A252E">
        <w:t>)</w:t>
      </w:r>
      <w:r w:rsidR="00EE6DB0">
        <w:t xml:space="preserve"> for the month</w:t>
      </w:r>
      <w:r w:rsidR="00EF3062">
        <w:t xml:space="preserve">. </w:t>
      </w:r>
    </w:p>
    <w:p w14:paraId="42C2F3D2" w14:textId="77777777" w:rsidR="00F73A24" w:rsidRDefault="00F73A24" w:rsidP="00BF751B">
      <w:pPr>
        <w:spacing w:before="120" w:after="120"/>
      </w:pPr>
    </w:p>
    <w:p w14:paraId="4972E063" w14:textId="77777777" w:rsidR="00F73A24" w:rsidRDefault="00F73A24" w:rsidP="00BF751B">
      <w:pPr>
        <w:spacing w:before="120" w:after="120"/>
      </w:pPr>
    </w:p>
    <w:p w14:paraId="5A4ACED6" w14:textId="4C158673" w:rsidR="00F73A24" w:rsidRPr="00F73A24" w:rsidRDefault="00F73A24" w:rsidP="00BF751B">
      <w:pPr>
        <w:spacing w:before="120" w:after="120"/>
        <w:rPr>
          <w:b/>
          <w:bCs/>
        </w:rPr>
      </w:pPr>
      <w:r w:rsidRPr="00F73A24">
        <w:rPr>
          <w:b/>
          <w:bCs/>
        </w:rPr>
        <w:lastRenderedPageBreak/>
        <w:t>Australian Shares - Sector Returns</w:t>
      </w:r>
    </w:p>
    <w:p w14:paraId="6051FE95" w14:textId="610C1A69" w:rsidR="006C68B8" w:rsidRDefault="001D48CC" w:rsidP="001F41D2">
      <w:pPr>
        <w:spacing w:before="120" w:after="120"/>
        <w:jc w:val="center"/>
      </w:pPr>
      <w:r w:rsidRPr="001D48CC">
        <w:rPr>
          <w:noProof/>
        </w:rPr>
        <w:drawing>
          <wp:inline distT="0" distB="0" distL="0" distR="0" wp14:anchorId="5A2D26CE" wp14:editId="5083882E">
            <wp:extent cx="4221480" cy="2611120"/>
            <wp:effectExtent l="0" t="0" r="7620" b="0"/>
            <wp:docPr id="6821197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2611120"/>
                    </a:xfrm>
                    <a:prstGeom prst="rect">
                      <a:avLst/>
                    </a:prstGeom>
                    <a:noFill/>
                    <a:ln>
                      <a:noFill/>
                    </a:ln>
                  </pic:spPr>
                </pic:pic>
              </a:graphicData>
            </a:graphic>
          </wp:inline>
        </w:drawing>
      </w:r>
    </w:p>
    <w:p w14:paraId="7EE381D5" w14:textId="53FA713C"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DD2467">
        <w:rPr>
          <w:sz w:val="18"/>
        </w:rPr>
        <w:t>3</w:t>
      </w:r>
      <w:r w:rsidR="001D48CC">
        <w:rPr>
          <w:sz w:val="18"/>
        </w:rPr>
        <w:t>0</w:t>
      </w:r>
      <w:r w:rsidR="001D48CC" w:rsidRPr="001D48CC">
        <w:rPr>
          <w:sz w:val="18"/>
          <w:vertAlign w:val="superscript"/>
        </w:rPr>
        <w:t>th</w:t>
      </w:r>
      <w:r w:rsidR="001D48CC">
        <w:rPr>
          <w:sz w:val="18"/>
        </w:rPr>
        <w:t xml:space="preserve"> April</w:t>
      </w:r>
      <w:r w:rsidR="007D590D">
        <w:rPr>
          <w:sz w:val="18"/>
        </w:rPr>
        <w:t xml:space="preserve"> 2</w:t>
      </w:r>
      <w:r w:rsidR="00AA627D">
        <w:rPr>
          <w:sz w:val="18"/>
        </w:rPr>
        <w:t>02</w:t>
      </w:r>
      <w:r w:rsidR="004A6010">
        <w:rPr>
          <w:sz w:val="18"/>
        </w:rPr>
        <w:t>5</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6C6A644B" w:rsidR="00585652" w:rsidRDefault="009E7EF6" w:rsidP="009E7EF6">
      <w:pPr>
        <w:spacing w:before="120" w:after="120"/>
      </w:pPr>
      <w:r>
        <w:t xml:space="preserve">Bonds and Fixed Interest markets </w:t>
      </w:r>
      <w:r w:rsidR="00F43A7D">
        <w:t>finished</w:t>
      </w:r>
      <w:r w:rsidR="00C175CC">
        <w:t xml:space="preserve"> </w:t>
      </w:r>
      <w:r w:rsidR="001D48CC">
        <w:t>firm</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1D48CC">
        <w:t>higher</w:t>
      </w:r>
      <w:r w:rsidR="002710BC">
        <w:t xml:space="preserve"> (</w:t>
      </w:r>
      <w:r w:rsidR="001D48CC">
        <w:t>down</w:t>
      </w:r>
      <w:r w:rsidR="00072B77">
        <w:t xml:space="preserve"> </w:t>
      </w:r>
      <w:r w:rsidR="003C26EF">
        <w:t xml:space="preserve">in </w:t>
      </w:r>
      <w:r w:rsidR="002710BC">
        <w:t xml:space="preserve">yield) </w:t>
      </w:r>
      <w:r w:rsidR="001D48CC">
        <w:t xml:space="preserve">after a volatile month. </w:t>
      </w:r>
      <w:r w:rsidR="002E3192">
        <w:t xml:space="preserve">Australian </w:t>
      </w:r>
      <w:r w:rsidR="00A02F18">
        <w:t xml:space="preserve">bonds </w:t>
      </w:r>
      <w:r w:rsidR="001D48CC">
        <w:t>remain nervous after</w:t>
      </w:r>
      <w:r w:rsidR="005E4197">
        <w:t xml:space="preserve"> </w:t>
      </w:r>
      <w:r w:rsidR="002E3192">
        <w:t>the</w:t>
      </w:r>
      <w:r w:rsidR="00656179">
        <w:t xml:space="preserve"> initial</w:t>
      </w:r>
      <w:r w:rsidR="00B743B6">
        <w:t xml:space="preserve"> US </w:t>
      </w:r>
      <w:r w:rsidR="00656179">
        <w:t>tariff</w:t>
      </w:r>
      <w:r w:rsidR="00B743B6">
        <w:t xml:space="preserve"> </w:t>
      </w:r>
      <w:r w:rsidR="002E3192">
        <w:t xml:space="preserve">sell-off </w:t>
      </w:r>
      <w:r w:rsidR="00EA7294">
        <w:t>with</w:t>
      </w:r>
      <w:r w:rsidR="00B743B6">
        <w:t xml:space="preserve"> the </w:t>
      </w:r>
      <w:r w:rsidR="00585652">
        <w:t>short-</w:t>
      </w:r>
      <w:proofErr w:type="gramStart"/>
      <w:r w:rsidR="00585652">
        <w:t>dated</w:t>
      </w:r>
      <w:r w:rsidR="001C4340">
        <w:t xml:space="preserve"> </w:t>
      </w:r>
      <w:r w:rsidR="0022166E">
        <w:t xml:space="preserve"> </w:t>
      </w:r>
      <w:r w:rsidR="00A52972">
        <w:t>2</w:t>
      </w:r>
      <w:proofErr w:type="gramEnd"/>
      <w:r w:rsidR="008D78CF">
        <w:t>-year</w:t>
      </w:r>
      <w:r w:rsidR="00503D92">
        <w:t xml:space="preserve"> </w:t>
      </w:r>
      <w:r w:rsidR="0020369D">
        <w:t xml:space="preserve">Government bonds </w:t>
      </w:r>
      <w:r w:rsidR="00D072D3">
        <w:t xml:space="preserve">trading at </w:t>
      </w:r>
      <w:r w:rsidR="00B743B6" w:rsidRPr="00CD2F82">
        <w:rPr>
          <w:b/>
          <w:bCs/>
        </w:rPr>
        <w:t>3.</w:t>
      </w:r>
      <w:r w:rsidR="001D48CC">
        <w:rPr>
          <w:b/>
          <w:bCs/>
        </w:rPr>
        <w:t>59</w:t>
      </w:r>
      <w:r w:rsidR="0020369D" w:rsidRPr="00B743B6">
        <w:rPr>
          <w:b/>
          <w:bCs/>
        </w:rPr>
        <w:t xml:space="preserve">% </w:t>
      </w:r>
      <w:r w:rsidR="00C23855">
        <w:t xml:space="preserve">on the </w:t>
      </w:r>
      <w:r w:rsidR="00072B77">
        <w:t>1</w:t>
      </w:r>
      <w:r w:rsidR="00EA7294">
        <w:t>5</w:t>
      </w:r>
      <w:r w:rsidR="00072B77" w:rsidRPr="00072B77">
        <w:rPr>
          <w:vertAlign w:val="superscript"/>
        </w:rPr>
        <w:t>th of</w:t>
      </w:r>
      <w:r w:rsidR="00072B77">
        <w:t xml:space="preserve"> </w:t>
      </w:r>
      <w:r w:rsidR="001D48CC">
        <w:t>May</w:t>
      </w:r>
      <w:r w:rsidR="00C23855">
        <w:t xml:space="preserve"> 202</w:t>
      </w:r>
      <w:r w:rsidR="00072B77">
        <w:t>5</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w:t>
      </w:r>
      <w:r w:rsidR="00B743B6">
        <w:rPr>
          <w:b/>
          <w:bCs/>
        </w:rPr>
        <w:t>.</w:t>
      </w:r>
      <w:r w:rsidR="001D48CC">
        <w:rPr>
          <w:b/>
          <w:bCs/>
        </w:rPr>
        <w:t>56</w:t>
      </w:r>
      <w:r w:rsidR="00526D92" w:rsidRPr="008229BA">
        <w:rPr>
          <w:b/>
          <w:bCs/>
        </w:rPr>
        <w:t>%</w:t>
      </w:r>
      <w:r w:rsidR="00867FD2" w:rsidRPr="008229BA">
        <w:rPr>
          <w:b/>
          <w:bCs/>
        </w:rPr>
        <w:t>.</w:t>
      </w:r>
      <w:r w:rsidR="00712A94">
        <w:t xml:space="preserve"> </w:t>
      </w:r>
    </w:p>
    <w:p w14:paraId="3C549984" w14:textId="0047E6EE" w:rsidR="00894706" w:rsidRDefault="00ED23CC" w:rsidP="009E7EF6">
      <w:pPr>
        <w:spacing w:before="120" w:after="120"/>
      </w:pPr>
      <w:r>
        <w:t xml:space="preserve">Global Bonds </w:t>
      </w:r>
      <w:r w:rsidR="00C51753">
        <w:t xml:space="preserve">ended </w:t>
      </w:r>
      <w:r w:rsidR="00A27D42">
        <w:t>higher</w:t>
      </w:r>
      <w:r w:rsidR="00BE2C9A">
        <w:t xml:space="preserve"> </w:t>
      </w:r>
      <w:r>
        <w:t>(</w:t>
      </w:r>
      <w:r w:rsidR="00A27D42">
        <w:t>+1.13</w:t>
      </w:r>
      <w:r w:rsidR="00867FD2">
        <w:t>%</w:t>
      </w:r>
      <w:r>
        <w:t>) and Australia</w:t>
      </w:r>
      <w:r w:rsidR="00037BFE">
        <w:t>n Bonds</w:t>
      </w:r>
      <w:r>
        <w:t xml:space="preserve"> end</w:t>
      </w:r>
      <w:r w:rsidR="002720B5">
        <w:t>ed</w:t>
      </w:r>
      <w:r>
        <w:t xml:space="preserve"> </w:t>
      </w:r>
      <w:r w:rsidR="00072B77">
        <w:t>up</w:t>
      </w:r>
      <w:r w:rsidR="00867FD2">
        <w:t xml:space="preserve"> </w:t>
      </w:r>
      <w:r>
        <w:t>(</w:t>
      </w:r>
      <w:r w:rsidR="00072B77">
        <w:t>+</w:t>
      </w:r>
      <w:r w:rsidR="00A27D42">
        <w:t>1.70</w:t>
      </w:r>
      <w:r w:rsidR="00A94C92">
        <w:t>%</w:t>
      </w:r>
      <w:r>
        <w:t>) for the month</w:t>
      </w:r>
      <w:r w:rsidR="00B6686A">
        <w:t xml:space="preserve"> of </w:t>
      </w:r>
      <w:r w:rsidR="00A27D42">
        <w:t>April</w:t>
      </w:r>
      <w:r w:rsidR="002F59EA">
        <w:t xml:space="preserve"> </w:t>
      </w:r>
      <w:r w:rsidR="00AA627D">
        <w:t>202</w:t>
      </w:r>
      <w:r w:rsidR="004A6010">
        <w:t>5</w:t>
      </w:r>
      <w:r w:rsidR="0049196F">
        <w:t xml:space="preserve"> </w:t>
      </w:r>
      <w:r w:rsidR="00037BFE">
        <w:t>and</w:t>
      </w:r>
      <w:r w:rsidR="0049196F">
        <w:t xml:space="preserve"> </w:t>
      </w:r>
      <w:r w:rsidR="004A6010">
        <w:t>up</w:t>
      </w:r>
      <w:r w:rsidR="00763854">
        <w:t xml:space="preserve"> </w:t>
      </w:r>
      <w:r w:rsidR="0049196F">
        <w:t>(</w:t>
      </w:r>
      <w:r w:rsidR="004A6010">
        <w:t>+</w:t>
      </w:r>
      <w:r w:rsidR="00A27D42">
        <w:t>1.73</w:t>
      </w:r>
      <w:r w:rsidR="0058031F">
        <w:t>%</w:t>
      </w:r>
      <w:r w:rsidR="0049196F">
        <w:t>) and</w:t>
      </w:r>
      <w:r w:rsidR="00AB090A">
        <w:t xml:space="preserve"> </w:t>
      </w:r>
      <w:r w:rsidR="0049196F">
        <w:t>(</w:t>
      </w:r>
      <w:r w:rsidR="004A6010">
        <w:t>+</w:t>
      </w:r>
      <w:r w:rsidR="00A27D42">
        <w:t>3.37</w:t>
      </w:r>
      <w:r w:rsidR="0049196F">
        <w:t xml:space="preserve">%) respectively for the </w:t>
      </w:r>
      <w:r w:rsidR="00B6686A">
        <w:t xml:space="preserve">previous three </w:t>
      </w:r>
      <w:r w:rsidR="0049196F">
        <w:t>month</w:t>
      </w:r>
      <w:r w:rsidR="00B6686A">
        <w:t>s</w:t>
      </w:r>
      <w:r w:rsidR="0049196F">
        <w:t>.</w:t>
      </w:r>
      <w:r w:rsidR="009E7EF6">
        <w:t xml:space="preserve"> </w:t>
      </w:r>
    </w:p>
    <w:p w14:paraId="524CE830" w14:textId="2F899622" w:rsidR="003E3E67" w:rsidRPr="007E048D" w:rsidRDefault="000B03C8" w:rsidP="00EA7294">
      <w:pPr>
        <w:spacing w:before="120" w:after="120"/>
        <w:rPr>
          <w:rFonts w:ascii="Calibri" w:hAnsi="Calibri" w:cs="Calibri"/>
          <w:i/>
          <w:iCs/>
          <w:color w:val="222222"/>
          <w:shd w:val="clear" w:color="auto" w:fill="FFFFFF"/>
        </w:rPr>
      </w:pPr>
      <w:r>
        <w:t xml:space="preserve">The RBA </w:t>
      </w:r>
      <w:r w:rsidR="00EA7294">
        <w:t xml:space="preserve">maintained </w:t>
      </w:r>
      <w:r w:rsidR="00892EB2">
        <w:t xml:space="preserve">the </w:t>
      </w:r>
      <w:r w:rsidRPr="00EA7294">
        <w:rPr>
          <w:color w:val="auto"/>
        </w:rPr>
        <w:t xml:space="preserve">target cash rate </w:t>
      </w:r>
      <w:r w:rsidR="00EA7294">
        <w:rPr>
          <w:color w:val="auto"/>
        </w:rPr>
        <w:t>at</w:t>
      </w:r>
      <w:r w:rsidR="00892EB2" w:rsidRPr="00EA7294">
        <w:rPr>
          <w:color w:val="auto"/>
        </w:rPr>
        <w:t xml:space="preserve"> </w:t>
      </w:r>
      <w:r w:rsidR="00D72327" w:rsidRPr="00EA7294">
        <w:rPr>
          <w:color w:val="auto"/>
        </w:rPr>
        <w:t>4.</w:t>
      </w:r>
      <w:r w:rsidR="001257FA" w:rsidRPr="00EA7294">
        <w:rPr>
          <w:color w:val="auto"/>
        </w:rPr>
        <w:t>10</w:t>
      </w:r>
      <w:r w:rsidRPr="00EA7294">
        <w:rPr>
          <w:color w:val="auto"/>
        </w:rPr>
        <w:t xml:space="preserve">% </w:t>
      </w:r>
      <w:r w:rsidR="006C7AED">
        <w:t>follow</w:t>
      </w:r>
      <w:r>
        <w:t xml:space="preserve">ing the </w:t>
      </w:r>
      <w:r w:rsidR="00A27D42">
        <w:t>31</w:t>
      </w:r>
      <w:r w:rsidR="00EA7294">
        <w:t xml:space="preserve"> March</w:t>
      </w:r>
      <w:r>
        <w:t xml:space="preserve"> </w:t>
      </w:r>
      <w:r w:rsidR="00A27D42">
        <w:t xml:space="preserve">/ 1 April </w:t>
      </w:r>
      <w:r w:rsidR="00781A24">
        <w:t>202</w:t>
      </w:r>
      <w:r w:rsidR="001257FA">
        <w:t>5</w:t>
      </w:r>
      <w:r w:rsidR="00781A24">
        <w:t xml:space="preserve"> </w:t>
      </w:r>
      <w:r>
        <w:t xml:space="preserve">board </w:t>
      </w:r>
      <w:r w:rsidR="00AB090A">
        <w:t>meeting</w:t>
      </w:r>
      <w:r w:rsidR="00DE11E9">
        <w:t>.</w:t>
      </w:r>
      <w:r w:rsidR="00DE11E9" w:rsidRPr="000D3366">
        <w:rPr>
          <w:noProof/>
        </w:rPr>
        <w:t xml:space="preserve"> </w:t>
      </w:r>
    </w:p>
    <w:p w14:paraId="593CB94C" w14:textId="36D856EE" w:rsidR="007A5EA0" w:rsidRDefault="007A5EA0" w:rsidP="000D3366">
      <w:pPr>
        <w:spacing w:before="120" w:after="120"/>
      </w:pPr>
      <w:r w:rsidRPr="007A5EA0">
        <w:t>The US 10-year Government bonds closed at (</w:t>
      </w:r>
      <w:r w:rsidR="00D70708" w:rsidRPr="00107D5C">
        <w:rPr>
          <w:b/>
          <w:bCs/>
        </w:rPr>
        <w:t>4.</w:t>
      </w:r>
      <w:r w:rsidR="00A27D42">
        <w:rPr>
          <w:b/>
          <w:bCs/>
        </w:rPr>
        <w:t>167</w:t>
      </w:r>
      <w:r w:rsidRPr="00107D5C">
        <w:rPr>
          <w:b/>
          <w:bCs/>
        </w:rPr>
        <w:t>%</w:t>
      </w:r>
      <w:r w:rsidRPr="007A5EA0">
        <w:t xml:space="preserve">) for the </w:t>
      </w:r>
      <w:r w:rsidR="00C175CC">
        <w:t>month</w:t>
      </w:r>
      <w:r w:rsidRPr="007A5EA0">
        <w:t xml:space="preserve"> </w:t>
      </w:r>
      <w:r w:rsidR="00A27D42">
        <w:t>down</w:t>
      </w:r>
      <w:r w:rsidRPr="007A5EA0">
        <w:t xml:space="preserve"> in yield (</w:t>
      </w:r>
      <w:r w:rsidR="00A27D42">
        <w:t>-</w:t>
      </w:r>
      <w:r w:rsidR="00EA7294">
        <w:t>0.0</w:t>
      </w:r>
      <w:r w:rsidR="00A27D42">
        <w:t>43</w:t>
      </w:r>
      <w:r w:rsidRPr="007A5EA0">
        <w:t xml:space="preserve">%) from the previous </w:t>
      </w:r>
      <w:r>
        <w:t>month</w:t>
      </w:r>
      <w:r w:rsidRPr="007A5EA0">
        <w:t xml:space="preserve"> close of </w:t>
      </w:r>
      <w:r w:rsidR="002F043F">
        <w:t>(</w:t>
      </w:r>
      <w:r w:rsidR="00DB63F1">
        <w:t>4.</w:t>
      </w:r>
      <w:r w:rsidR="00EA7294">
        <w:t>2</w:t>
      </w:r>
      <w:r w:rsidR="00A27D42">
        <w:t>1</w:t>
      </w:r>
      <w:r w:rsidRPr="007A5EA0">
        <w:t xml:space="preserve">%). </w:t>
      </w:r>
    </w:p>
    <w:p w14:paraId="5700F3F2" w14:textId="5DADB083" w:rsidR="000D3366" w:rsidRDefault="000D3366" w:rsidP="007A5EA0">
      <w:pPr>
        <w:spacing w:before="120" w:after="120" w:line="240" w:lineRule="auto"/>
      </w:pPr>
      <w:r w:rsidRPr="0070328C">
        <w:rPr>
          <w:noProof/>
        </w:rPr>
        <w:lastRenderedPageBreak/>
        <w:drawing>
          <wp:inline distT="0" distB="0" distL="0" distR="0" wp14:anchorId="76293588" wp14:editId="24086011">
            <wp:extent cx="2601358" cy="2216877"/>
            <wp:effectExtent l="0" t="0" r="8890" b="0"/>
            <wp:docPr id="703442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0204" cy="2232937"/>
                    </a:xfrm>
                    <a:prstGeom prst="rect">
                      <a:avLst/>
                    </a:prstGeom>
                    <a:noFill/>
                    <a:ln>
                      <a:noFill/>
                    </a:ln>
                  </pic:spPr>
                </pic:pic>
              </a:graphicData>
            </a:graphic>
          </wp:inline>
        </w:drawing>
      </w:r>
      <w:r w:rsidRPr="000D3366">
        <w:rPr>
          <w:noProof/>
        </w:rPr>
        <w:drawing>
          <wp:inline distT="0" distB="0" distL="0" distR="0" wp14:anchorId="344306B6" wp14:editId="4B3B685C">
            <wp:extent cx="2626716" cy="2152301"/>
            <wp:effectExtent l="0" t="0" r="2540" b="635"/>
            <wp:docPr id="1438010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531" cy="2153788"/>
                    </a:xfrm>
                    <a:prstGeom prst="rect">
                      <a:avLst/>
                    </a:prstGeom>
                    <a:noFill/>
                    <a:ln>
                      <a:noFill/>
                    </a:ln>
                  </pic:spPr>
                </pic:pic>
              </a:graphicData>
            </a:graphic>
          </wp:inline>
        </w:drawing>
      </w:r>
    </w:p>
    <w:p w14:paraId="7B169699" w14:textId="7E485A9F" w:rsidR="007A5EA0" w:rsidRPr="00D341D7" w:rsidRDefault="007A5EA0" w:rsidP="007A5EA0">
      <w:pPr>
        <w:spacing w:before="120" w:after="120" w:line="240" w:lineRule="auto"/>
      </w:pPr>
      <w:r w:rsidRPr="00D341D7">
        <w:t xml:space="preserve">The Australian Government 10-year bonds finished </w:t>
      </w:r>
      <w:r w:rsidR="00921021">
        <w:t>lower</w:t>
      </w:r>
      <w:r w:rsidRPr="00D341D7">
        <w:t xml:space="preserve"> in yield in</w:t>
      </w:r>
      <w:r w:rsidR="00767F50">
        <w:t xml:space="preserve"> </w:t>
      </w:r>
      <w:r w:rsidR="00921021">
        <w:t>April</w:t>
      </w:r>
      <w:r w:rsidRPr="00D341D7">
        <w:t xml:space="preserve"> 202</w:t>
      </w:r>
      <w:r w:rsidR="004A6010">
        <w:t>5</w:t>
      </w:r>
      <w:r w:rsidRPr="00D341D7">
        <w:t xml:space="preserve"> at (</w:t>
      </w:r>
      <w:r w:rsidR="00D70708" w:rsidRPr="00107D5C">
        <w:rPr>
          <w:b/>
          <w:bCs/>
        </w:rPr>
        <w:t>4.</w:t>
      </w:r>
      <w:r w:rsidR="00921021">
        <w:rPr>
          <w:b/>
          <w:bCs/>
        </w:rPr>
        <w:t>167</w:t>
      </w:r>
      <w:r w:rsidRPr="00107D5C">
        <w:rPr>
          <w:b/>
          <w:bCs/>
        </w:rPr>
        <w:t>%</w:t>
      </w:r>
      <w:r w:rsidRPr="00D341D7">
        <w:t xml:space="preserve">) </w:t>
      </w:r>
      <w:r w:rsidR="00921021">
        <w:t>down</w:t>
      </w:r>
      <w:r w:rsidR="00702885">
        <w:t xml:space="preserve"> </w:t>
      </w:r>
      <w:r w:rsidR="00C175CC">
        <w:t xml:space="preserve">in yield </w:t>
      </w:r>
      <w:r w:rsidRPr="00D341D7">
        <w:t>(</w:t>
      </w:r>
      <w:r w:rsidR="00921021">
        <w:t>-</w:t>
      </w:r>
      <w:r w:rsidR="00EA7294">
        <w:t>0.</w:t>
      </w:r>
      <w:r w:rsidR="00921021">
        <w:t>268</w:t>
      </w:r>
      <w:r w:rsidR="00D70708">
        <w:t>%</w:t>
      </w:r>
      <w:r w:rsidRPr="00D341D7">
        <w:t>) from (</w:t>
      </w:r>
      <w:r w:rsidR="00DB63F1">
        <w:t>4</w:t>
      </w:r>
      <w:r w:rsidR="00921021">
        <w:t>.</w:t>
      </w:r>
      <w:r w:rsidR="00C37C40">
        <w:t>3</w:t>
      </w:r>
      <w:r w:rsidR="00EA7294">
        <w:t>8</w:t>
      </w:r>
      <w:r w:rsidRPr="00D341D7">
        <w:t xml:space="preserve">%) in </w:t>
      </w:r>
      <w:r w:rsidR="00C37C40">
        <w:t>March</w:t>
      </w:r>
      <w:r w:rsidRPr="00D341D7">
        <w:t xml:space="preserve"> 202</w:t>
      </w:r>
      <w:r w:rsidR="00DE231D">
        <w:t>5</w:t>
      </w:r>
      <w:r w:rsidRPr="00D341D7">
        <w:t xml:space="preserve">. </w:t>
      </w:r>
    </w:p>
    <w:p w14:paraId="451816EC" w14:textId="77777777" w:rsidR="001A4083" w:rsidRDefault="001A4083" w:rsidP="009E7EF6">
      <w:pPr>
        <w:jc w:val="center"/>
        <w:rPr>
          <w:sz w:val="18"/>
        </w:rPr>
      </w:pPr>
      <w:r w:rsidRPr="001A4083">
        <w:rPr>
          <w:noProof/>
          <w:sz w:val="18"/>
        </w:rPr>
        <w:drawing>
          <wp:inline distT="0" distB="0" distL="0" distR="0" wp14:anchorId="12353C6D" wp14:editId="5E02EAD6">
            <wp:extent cx="4363720" cy="1640840"/>
            <wp:effectExtent l="0" t="0" r="0" b="0"/>
            <wp:docPr id="4969890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3720" cy="1640840"/>
                    </a:xfrm>
                    <a:prstGeom prst="rect">
                      <a:avLst/>
                    </a:prstGeom>
                    <a:noFill/>
                    <a:ln>
                      <a:noFill/>
                    </a:ln>
                  </pic:spPr>
                </pic:pic>
              </a:graphicData>
            </a:graphic>
          </wp:inline>
        </w:drawing>
      </w:r>
    </w:p>
    <w:p w14:paraId="03CFA4CC" w14:textId="5691EFA4"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6956CE">
        <w:rPr>
          <w:sz w:val="18"/>
        </w:rPr>
        <w:t>3</w:t>
      </w:r>
      <w:r w:rsidR="001A4083">
        <w:rPr>
          <w:sz w:val="18"/>
        </w:rPr>
        <w:t>0</w:t>
      </w:r>
      <w:r w:rsidR="001A4083" w:rsidRPr="001A4083">
        <w:rPr>
          <w:sz w:val="18"/>
          <w:vertAlign w:val="superscript"/>
        </w:rPr>
        <w:t>th</w:t>
      </w:r>
      <w:r w:rsidR="001A4083">
        <w:rPr>
          <w:sz w:val="18"/>
        </w:rPr>
        <w:t xml:space="preserve"> April</w:t>
      </w:r>
      <w:r w:rsidR="009B1992">
        <w:rPr>
          <w:sz w:val="18"/>
        </w:rPr>
        <w:t xml:space="preserve"> </w:t>
      </w:r>
      <w:r w:rsidR="00AA627D">
        <w:rPr>
          <w:sz w:val="18"/>
        </w:rPr>
        <w:t>202</w:t>
      </w:r>
      <w:r w:rsidR="0050466F">
        <w:rPr>
          <w:sz w:val="18"/>
        </w:rPr>
        <w:t>5</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53B4B214" w:rsidR="009E7EF6" w:rsidRDefault="009E7EF6" w:rsidP="00A70A09">
      <w:pPr>
        <w:spacing w:before="0" w:after="0"/>
      </w:pPr>
      <w:r>
        <w:t xml:space="preserve">The </w:t>
      </w:r>
      <w:r w:rsidR="00590B4A">
        <w:t>$</w:t>
      </w:r>
      <w:r>
        <w:t xml:space="preserve">A closed </w:t>
      </w:r>
      <w:r w:rsidR="006956CE">
        <w:t>stronger</w:t>
      </w:r>
      <w:r w:rsidR="009B1992">
        <w:t xml:space="preserve"> </w:t>
      </w:r>
      <w:r w:rsidR="00590B4A">
        <w:t xml:space="preserve">AUD/USD </w:t>
      </w:r>
      <w:r>
        <w:t>0.</w:t>
      </w:r>
      <w:r w:rsidR="003638C4">
        <w:t>6</w:t>
      </w:r>
      <w:r w:rsidR="00EB5A2C">
        <w:t>416</w:t>
      </w:r>
      <w:r>
        <w:t xml:space="preserve"> at the end of </w:t>
      </w:r>
      <w:r w:rsidR="00EB5A2C">
        <w:t>April</w:t>
      </w:r>
      <w:r w:rsidR="00AA627D">
        <w:t xml:space="preserve"> 202</w:t>
      </w:r>
      <w:r w:rsidR="00D0466A">
        <w:t>5</w:t>
      </w:r>
      <w:r>
        <w:t xml:space="preserve"> which </w:t>
      </w:r>
      <w:r w:rsidR="00811CBE">
        <w:t xml:space="preserve">was </w:t>
      </w:r>
      <w:r w:rsidR="006956CE">
        <w:t>nega</w:t>
      </w:r>
      <w:r w:rsidR="000163D4">
        <w:t>tive</w:t>
      </w:r>
      <w:r w:rsidR="00811CBE">
        <w:t xml:space="preserve"> </w:t>
      </w:r>
      <w:r w:rsidR="006956CE">
        <w:t>on</w:t>
      </w:r>
      <w:r w:rsidR="00811CBE">
        <w:t xml:space="preserve"> </w:t>
      </w:r>
      <w:r w:rsidR="00A72332">
        <w:t>returns for</w:t>
      </w:r>
      <w:r>
        <w:t xml:space="preserve"> investors who held offshore assets unhedged (</w:t>
      </w:r>
      <w:r w:rsidR="006956CE">
        <w:t>-</w:t>
      </w:r>
      <w:r w:rsidR="00EB5A2C">
        <w:t>2.17</w:t>
      </w:r>
      <w:r>
        <w:t xml:space="preserve">%) over the </w:t>
      </w:r>
      <w:r w:rsidR="00CE6ADD">
        <w:t xml:space="preserve">month </w:t>
      </w:r>
      <w:r w:rsidR="00DE0182">
        <w:t>and</w:t>
      </w:r>
      <w:r w:rsidR="00CA7193">
        <w:t xml:space="preserve"> </w:t>
      </w:r>
      <w:r w:rsidR="00CE6ADD">
        <w:t>(</w:t>
      </w:r>
      <w:r w:rsidR="006956CE">
        <w:t>-</w:t>
      </w:r>
      <w:r w:rsidR="00EB5A2C">
        <w:t>3.07</w:t>
      </w:r>
      <w:r w:rsidR="00CE6ADD">
        <w:t>%</w:t>
      </w:r>
      <w:r w:rsidR="0088021D">
        <w:t>)</w:t>
      </w:r>
      <w:r w:rsidR="00CE6ADD">
        <w:t xml:space="preserve"> </w:t>
      </w:r>
      <w:r w:rsidR="0088021D">
        <w:t xml:space="preserve">over the </w:t>
      </w:r>
      <w:r>
        <w:t>last three months.</w:t>
      </w:r>
    </w:p>
    <w:p w14:paraId="3AE21298" w14:textId="77777777" w:rsidR="00301F84" w:rsidRDefault="00301F84" w:rsidP="00A70A09">
      <w:pPr>
        <w:spacing w:before="0" w:after="0"/>
      </w:pPr>
    </w:p>
    <w:p w14:paraId="18782DE7" w14:textId="77777777" w:rsidR="00301F84" w:rsidRDefault="00301F84" w:rsidP="00A70A09">
      <w:pPr>
        <w:spacing w:before="0" w:after="0"/>
      </w:pPr>
    </w:p>
    <w:p w14:paraId="07678E04" w14:textId="77777777" w:rsidR="00301F84" w:rsidRDefault="00301F84" w:rsidP="00A70A09">
      <w:pPr>
        <w:spacing w:before="0" w:after="0"/>
      </w:pPr>
    </w:p>
    <w:p w14:paraId="212936D7" w14:textId="77777777" w:rsidR="00301F84" w:rsidRDefault="00301F84" w:rsidP="00A70A09">
      <w:pPr>
        <w:spacing w:before="0" w:after="0"/>
      </w:pPr>
    </w:p>
    <w:p w14:paraId="65846B51" w14:textId="77777777" w:rsidR="00301F84" w:rsidRDefault="00301F84" w:rsidP="00A70A09">
      <w:pPr>
        <w:spacing w:before="0" w:after="0"/>
      </w:pPr>
    </w:p>
    <w:p w14:paraId="781712B2" w14:textId="77777777" w:rsidR="00301F84" w:rsidRDefault="00301F84" w:rsidP="00A70A09">
      <w:pPr>
        <w:spacing w:before="0" w:after="0"/>
      </w:pPr>
    </w:p>
    <w:p w14:paraId="1C86B466" w14:textId="77777777" w:rsidR="00301F84" w:rsidRDefault="00301F84" w:rsidP="00A70A09">
      <w:pPr>
        <w:spacing w:before="0" w:after="0"/>
      </w:pPr>
    </w:p>
    <w:p w14:paraId="0D9D3FFA" w14:textId="77777777" w:rsidR="00301F84" w:rsidRDefault="00301F84" w:rsidP="00A70A09">
      <w:pPr>
        <w:spacing w:before="0" w:after="0"/>
      </w:pPr>
    </w:p>
    <w:p w14:paraId="61BE8DE3" w14:textId="19D13889" w:rsidR="004D2D2C" w:rsidRDefault="00AF67EB" w:rsidP="00AF67EB">
      <w:r>
        <w:rPr>
          <w:noProof/>
        </w:rPr>
        <w:lastRenderedPageBreak/>
        <mc:AlternateContent>
          <mc:Choice Requires="wps">
            <w:drawing>
              <wp:anchor distT="45720" distB="45720" distL="114300" distR="114300" simplePos="0" relativeHeight="251659264" behindDoc="0" locked="0" layoutInCell="1" allowOverlap="1" wp14:anchorId="674A7F81" wp14:editId="61316737">
                <wp:simplePos x="0" y="0"/>
                <wp:positionH relativeFrom="column">
                  <wp:posOffset>3284487</wp:posOffset>
                </wp:positionH>
                <wp:positionV relativeFrom="paragraph">
                  <wp:posOffset>273017</wp:posOffset>
                </wp:positionV>
                <wp:extent cx="2237105" cy="1986915"/>
                <wp:effectExtent l="0" t="0" r="10795" b="1333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98691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58.6pt;margin-top:21.5pt;width:176.15pt;height:15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A954C5" w:rsidRPr="00A954C5">
        <w:t xml:space="preserve"> </w:t>
      </w:r>
      <w:r w:rsidR="00876A66" w:rsidRPr="00876A66">
        <w:rPr>
          <w:noProof/>
        </w:rPr>
        <w:drawing>
          <wp:inline distT="0" distB="0" distL="0" distR="0" wp14:anchorId="7F1A12E4" wp14:editId="581374B5">
            <wp:extent cx="2987817" cy="2493934"/>
            <wp:effectExtent l="0" t="0" r="3175" b="1905"/>
            <wp:docPr id="19157296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4848" cy="2499803"/>
                    </a:xfrm>
                    <a:prstGeom prst="rect">
                      <a:avLst/>
                    </a:prstGeom>
                    <a:noFill/>
                    <a:ln>
                      <a:noFill/>
                    </a:ln>
                  </pic:spPr>
                </pic:pic>
              </a:graphicData>
            </a:graphic>
          </wp:inline>
        </w:drawing>
      </w:r>
    </w:p>
    <w:p w14:paraId="178A1257" w14:textId="6745915C"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2847BF22" w:rsidR="009E7EF6" w:rsidRDefault="00E83078" w:rsidP="00A70A09">
      <w:pPr>
        <w:spacing w:before="0" w:after="240"/>
      </w:pPr>
      <w:r w:rsidRPr="00E83078">
        <w:t>Australia’s latest GDP data for the</w:t>
      </w:r>
      <w:r w:rsidR="00CF265D">
        <w:t xml:space="preserve"> </w:t>
      </w:r>
      <w:r w:rsidR="00275E99">
        <w:t>fourth</w:t>
      </w:r>
      <w:r w:rsidRPr="00E83078">
        <w:t xml:space="preserve"> quarter of 202</w:t>
      </w:r>
      <w:r w:rsidR="0091516C">
        <w:t>4</w:t>
      </w:r>
      <w:r w:rsidRPr="00E83078">
        <w:t xml:space="preserve"> revealed an </w:t>
      </w:r>
      <w:r w:rsidRPr="00E83078">
        <w:rPr>
          <w:b/>
          <w:bCs/>
        </w:rPr>
        <w:t xml:space="preserve">annual growth rate of </w:t>
      </w:r>
      <w:r w:rsidR="00275E99">
        <w:rPr>
          <w:b/>
          <w:bCs/>
        </w:rPr>
        <w:t>1.3</w:t>
      </w:r>
      <w:r w:rsidRPr="00E83078">
        <w:rPr>
          <w:b/>
          <w:bCs/>
        </w:rPr>
        <w:t>%</w:t>
      </w:r>
      <w:r w:rsidRPr="00E83078">
        <w:t xml:space="preserve"> which was </w:t>
      </w:r>
      <w:r w:rsidR="00275E99">
        <w:t>up</w:t>
      </w:r>
      <w:r w:rsidR="002656F2">
        <w:t xml:space="preserve"> f</w:t>
      </w:r>
      <w:r w:rsidRPr="00E83078">
        <w:t xml:space="preserve">rom </w:t>
      </w:r>
      <w:r w:rsidR="00275E99">
        <w:t>0.80</w:t>
      </w:r>
      <w:r w:rsidR="001F699A">
        <w:t xml:space="preserve">% in the </w:t>
      </w:r>
      <w:r w:rsidR="00275E99">
        <w:t>third</w:t>
      </w:r>
      <w:r w:rsidR="001F699A">
        <w:t xml:space="preserve"> </w:t>
      </w:r>
      <w:r w:rsidRPr="00E83078">
        <w:t>quarter of 202</w:t>
      </w:r>
      <w:r w:rsidR="00CF265D">
        <w:t>4</w:t>
      </w:r>
      <w:r w:rsidR="002656F2">
        <w:t>.</w:t>
      </w:r>
      <w:r w:rsidRPr="00E83078">
        <w:t xml:space="preserve"> Unemployment </w:t>
      </w:r>
      <w:r w:rsidR="009A724B">
        <w:t>was unchanged at</w:t>
      </w:r>
      <w:r w:rsidR="009F26B6">
        <w:t xml:space="preserve"> </w:t>
      </w:r>
      <w:r w:rsidR="003B014A">
        <w:t>4.</w:t>
      </w:r>
      <w:r w:rsidR="00275E99">
        <w:t>1</w:t>
      </w:r>
      <w:r w:rsidR="00481C63">
        <w:t xml:space="preserve">% </w:t>
      </w:r>
      <w:r w:rsidRPr="00E83078">
        <w:t xml:space="preserve">in </w:t>
      </w:r>
      <w:r w:rsidR="009A724B">
        <w:t>April</w:t>
      </w:r>
      <w:r w:rsidRPr="00E83078">
        <w:t xml:space="preserve"> 202</w:t>
      </w:r>
      <w:r w:rsidR="00275E99">
        <w:t>5</w:t>
      </w:r>
      <w:r w:rsidR="009A724B">
        <w:t>.</w:t>
      </w:r>
      <w:r w:rsidRPr="00E83078">
        <w:t xml:space="preserve"> The </w:t>
      </w:r>
      <w:r w:rsidR="00642BAE">
        <w:t xml:space="preserve">Y-O-Y </w:t>
      </w:r>
      <w:r w:rsidR="001918FE" w:rsidRPr="007D7864">
        <w:rPr>
          <w:b/>
          <w:bCs/>
        </w:rPr>
        <w:t xml:space="preserve">inflation rate </w:t>
      </w:r>
      <w:r w:rsidR="009A724B">
        <w:rPr>
          <w:b/>
          <w:bCs/>
        </w:rPr>
        <w:t>held steady at</w:t>
      </w:r>
      <w:r w:rsidR="001918FE" w:rsidRPr="007D7864">
        <w:rPr>
          <w:b/>
          <w:bCs/>
        </w:rPr>
        <w:t xml:space="preserve"> </w:t>
      </w:r>
      <w:r w:rsidR="004916DD">
        <w:rPr>
          <w:b/>
          <w:bCs/>
        </w:rPr>
        <w:t>2</w:t>
      </w:r>
      <w:r w:rsidR="00A7764C">
        <w:rPr>
          <w:b/>
          <w:bCs/>
        </w:rPr>
        <w:t>.</w:t>
      </w:r>
      <w:r w:rsidR="00F32028">
        <w:rPr>
          <w:b/>
          <w:bCs/>
        </w:rPr>
        <w:t>4</w:t>
      </w:r>
      <w:r w:rsidR="001918FE" w:rsidRPr="007D7864">
        <w:rPr>
          <w:b/>
          <w:bCs/>
        </w:rPr>
        <w:t>%</w:t>
      </w:r>
      <w:r w:rsidR="001918FE">
        <w:t xml:space="preserve"> in the </w:t>
      </w:r>
      <w:r w:rsidR="00F32028">
        <w:t>f</w:t>
      </w:r>
      <w:r w:rsidR="009A724B">
        <w:t>irst</w:t>
      </w:r>
      <w:r w:rsidR="001918FE">
        <w:t xml:space="preserve"> quarter of 202</w:t>
      </w:r>
      <w:r w:rsidR="009A724B">
        <w:t>5</w:t>
      </w:r>
      <w:r w:rsidR="001918FE">
        <w:t xml:space="preserve"> </w:t>
      </w:r>
      <w:r w:rsidR="009A724B">
        <w:t>unchanged from the fourth quarter of</w:t>
      </w:r>
      <w:r w:rsidR="001918FE">
        <w:t>202</w:t>
      </w:r>
      <w:r w:rsidR="00301803">
        <w:t>4</w:t>
      </w:r>
      <w:r w:rsidR="001918FE">
        <w:t xml:space="preserve">, </w:t>
      </w:r>
      <w:r w:rsidR="009E7EF6">
        <w:t xml:space="preserve">which is </w:t>
      </w:r>
      <w:r w:rsidR="004916DD">
        <w:t>within</w:t>
      </w:r>
      <w:r w:rsidR="00892627">
        <w:t xml:space="preserve"> the </w:t>
      </w:r>
      <w:r w:rsidR="009E7EF6">
        <w:t>Reserve Bank’s targeted 2% to 3% target range.</w:t>
      </w:r>
      <w:r w:rsidR="009E7EF6" w:rsidRPr="00954E33">
        <w:t xml:space="preserve"> </w:t>
      </w:r>
    </w:p>
    <w:p w14:paraId="2527D827" w14:textId="77E3A53B" w:rsidR="00147535" w:rsidRDefault="00301F84" w:rsidP="00C96BC6">
      <w:pPr>
        <w:pStyle w:val="Heading2"/>
        <w:jc w:val="center"/>
        <w:rPr>
          <w:b w:val="0"/>
          <w:bCs w:val="0"/>
        </w:rPr>
      </w:pPr>
      <w:r w:rsidRPr="00301F84">
        <w:rPr>
          <w:b w:val="0"/>
          <w:bCs w:val="0"/>
          <w:noProof/>
        </w:rPr>
        <w:drawing>
          <wp:inline distT="0" distB="0" distL="0" distR="0" wp14:anchorId="12990CFE" wp14:editId="3BD6E8F9">
            <wp:extent cx="2804364" cy="2451760"/>
            <wp:effectExtent l="0" t="0" r="0" b="5715"/>
            <wp:docPr id="19236241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342" cy="2464855"/>
                    </a:xfrm>
                    <a:prstGeom prst="rect">
                      <a:avLst/>
                    </a:prstGeom>
                    <a:noFill/>
                    <a:ln>
                      <a:noFill/>
                    </a:ln>
                  </pic:spPr>
                </pic:pic>
              </a:graphicData>
            </a:graphic>
          </wp:inline>
        </w:drawing>
      </w:r>
      <w:r w:rsidR="00907005" w:rsidRPr="00907005">
        <w:rPr>
          <w:b w:val="0"/>
          <w:bCs w:val="0"/>
        </w:rPr>
        <w:t xml:space="preserve"> </w:t>
      </w:r>
      <w:r w:rsidRPr="00301F84">
        <w:rPr>
          <w:b w:val="0"/>
          <w:bCs w:val="0"/>
          <w:noProof/>
        </w:rPr>
        <w:drawing>
          <wp:inline distT="0" distB="0" distL="0" distR="0" wp14:anchorId="258CF057" wp14:editId="0D75C1D1">
            <wp:extent cx="2680837" cy="2439785"/>
            <wp:effectExtent l="0" t="0" r="5715" b="0"/>
            <wp:docPr id="21006800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320" cy="2456606"/>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4A7C949C" w:rsidR="00D658F2" w:rsidRPr="001740F6" w:rsidRDefault="00D658F2" w:rsidP="00001F8C">
      <w:r>
        <w:t xml:space="preserve">The overall </w:t>
      </w:r>
      <w:r w:rsidR="002C2046">
        <w:t xml:space="preserve">investment </w:t>
      </w:r>
      <w:r w:rsidR="00242925">
        <w:t>view</w:t>
      </w:r>
      <w:r>
        <w:t xml:space="preserve"> </w:t>
      </w:r>
      <w:r w:rsidR="005A4CB4">
        <w:t xml:space="preserve">for shares </w:t>
      </w:r>
      <w:r>
        <w:t>i</w:t>
      </w:r>
      <w:r w:rsidR="000D2EF0">
        <w:t>n the</w:t>
      </w:r>
      <w:r>
        <w:t xml:space="preserve"> </w:t>
      </w:r>
      <w:r w:rsidR="00211307">
        <w:t xml:space="preserve">short-term </w:t>
      </w:r>
      <w:r w:rsidR="009965D9">
        <w:t>i</w:t>
      </w:r>
      <w:r w:rsidR="00CF265D">
        <w:t xml:space="preserve">s </w:t>
      </w:r>
      <w:r w:rsidR="008116BB" w:rsidRPr="00C96BC6">
        <w:rPr>
          <w:b/>
          <w:bCs/>
        </w:rPr>
        <w:t>“</w:t>
      </w:r>
      <w:r w:rsidR="00254625">
        <w:rPr>
          <w:b/>
          <w:bCs/>
        </w:rPr>
        <w:t>uncertain</w:t>
      </w:r>
      <w:r w:rsidR="00254625" w:rsidRPr="00C96BC6">
        <w:rPr>
          <w:b/>
          <w:bCs/>
        </w:rPr>
        <w:t>”</w:t>
      </w:r>
      <w:r w:rsidR="00254625">
        <w:t xml:space="preserve"> </w:t>
      </w:r>
      <w:proofErr w:type="gramStart"/>
      <w:r w:rsidR="00254625">
        <w:t>and</w:t>
      </w:r>
      <w:r w:rsidR="00C96BC6">
        <w:t xml:space="preserve">  </w:t>
      </w:r>
      <w:r w:rsidR="009965D9">
        <w:t>“</w:t>
      </w:r>
      <w:proofErr w:type="gramEnd"/>
      <w:r w:rsidR="009965D9" w:rsidRPr="009965D9">
        <w:rPr>
          <w:b/>
          <w:bCs/>
        </w:rPr>
        <w:t>cautiously</w:t>
      </w:r>
      <w:r w:rsidR="009965D9">
        <w:rPr>
          <w:b/>
          <w:bCs/>
        </w:rPr>
        <w:t xml:space="preserve"> </w:t>
      </w:r>
      <w:r w:rsidR="00877A32" w:rsidRPr="009965D9">
        <w:rPr>
          <w:b/>
          <w:bCs/>
        </w:rPr>
        <w:t>o</w:t>
      </w:r>
      <w:r w:rsidR="00877A32" w:rsidRPr="00745215">
        <w:rPr>
          <w:b/>
          <w:bCs/>
        </w:rPr>
        <w:t>ptimistic</w:t>
      </w:r>
      <w:r w:rsidR="009965D9">
        <w:rPr>
          <w:b/>
          <w:bCs/>
        </w:rPr>
        <w:t>”</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9965D9">
        <w:t xml:space="preserve">expected to </w:t>
      </w:r>
      <w:r w:rsidR="001740F6" w:rsidRPr="009965D9">
        <w:rPr>
          <w:b/>
          <w:bCs/>
        </w:rPr>
        <w:t xml:space="preserve">continue </w:t>
      </w:r>
      <w:r w:rsidR="00077BE9">
        <w:rPr>
          <w:b/>
          <w:bCs/>
        </w:rPr>
        <w:t>to</w:t>
      </w:r>
      <w:r w:rsidR="001740F6" w:rsidRPr="009965D9">
        <w:rPr>
          <w:b/>
          <w:bCs/>
        </w:rPr>
        <w:t xml:space="preserve"> trend</w:t>
      </w:r>
      <w:r w:rsidR="00077BE9">
        <w:rPr>
          <w:b/>
          <w:bCs/>
        </w:rPr>
        <w:t xml:space="preserve"> down</w:t>
      </w:r>
      <w:r w:rsidR="001740F6" w:rsidRPr="009965D9">
        <w:t xml:space="preserve"> </w:t>
      </w:r>
      <w:r w:rsidR="009965D9" w:rsidRPr="009965D9">
        <w:t>post the</w:t>
      </w:r>
      <w:r w:rsidR="009965D9">
        <w:rPr>
          <w:b/>
          <w:bCs/>
        </w:rPr>
        <w:t xml:space="preserve"> </w:t>
      </w:r>
      <w:r w:rsidR="00077BE9">
        <w:rPr>
          <w:b/>
          <w:bCs/>
        </w:rPr>
        <w:t xml:space="preserve">tariff implementation </w:t>
      </w:r>
      <w:r w:rsidR="00077BE9" w:rsidRPr="00077BE9">
        <w:t>and future</w:t>
      </w:r>
      <w:r w:rsidR="00077BE9">
        <w:rPr>
          <w:b/>
          <w:bCs/>
        </w:rPr>
        <w:t xml:space="preserve"> </w:t>
      </w:r>
      <w:r w:rsidR="0018703E" w:rsidRPr="0018703E">
        <w:t xml:space="preserve">anticipated </w:t>
      </w:r>
      <w:r w:rsidR="001740F6" w:rsidRPr="001740F6">
        <w:t>easing of Monetary Policy</w:t>
      </w:r>
      <w:r w:rsidR="001740F6">
        <w:t xml:space="preserve"> by the RBA</w:t>
      </w:r>
      <w:r w:rsidR="001740F6" w:rsidRPr="001740F6">
        <w:t>.</w:t>
      </w:r>
    </w:p>
    <w:p w14:paraId="2FFEB0A6" w14:textId="349BEDF3" w:rsidR="0018703E" w:rsidRDefault="0018703E" w:rsidP="004273DE">
      <w:pPr>
        <w:pStyle w:val="Heading3"/>
        <w:spacing w:before="120" w:after="120"/>
        <w:rPr>
          <w:rFonts w:asciiTheme="minorHAnsi" w:eastAsiaTheme="minorEastAsia" w:hAnsiTheme="minorHAnsi" w:cstheme="minorBidi"/>
          <w:b w:val="0"/>
          <w:bCs w:val="0"/>
          <w:iCs w:val="0"/>
          <w:caps w:val="0"/>
          <w:color w:val="414042" w:themeColor="text1"/>
          <w:lang w:val="en-AU" w:bidi="ar-SA"/>
        </w:rPr>
      </w:pPr>
      <w:r w:rsidRPr="0018703E">
        <w:rPr>
          <w:rFonts w:asciiTheme="minorHAnsi" w:eastAsiaTheme="minorEastAsia" w:hAnsiTheme="minorHAnsi" w:cstheme="minorBidi"/>
          <w:b w:val="0"/>
          <w:bCs w:val="0"/>
          <w:iCs w:val="0"/>
          <w:caps w:val="0"/>
          <w:color w:val="414042" w:themeColor="text1"/>
          <w:lang w:val="en-AU" w:bidi="ar-SA"/>
        </w:rPr>
        <w:t xml:space="preserve">The </w:t>
      </w:r>
      <w:r>
        <w:rPr>
          <w:rFonts w:asciiTheme="minorHAnsi" w:eastAsiaTheme="minorEastAsia" w:hAnsiTheme="minorHAnsi" w:cstheme="minorBidi"/>
          <w:b w:val="0"/>
          <w:bCs w:val="0"/>
          <w:iCs w:val="0"/>
          <w:caps w:val="0"/>
          <w:color w:val="414042" w:themeColor="text1"/>
          <w:lang w:val="en-AU" w:bidi="ar-SA"/>
        </w:rPr>
        <w:t>election win by the Australian Labor Party has passed without any unintended changes to the economic expectations and now it is simply wait and see. The opposition parties are undergoing changes to their ranks and thinking post the election defeat.</w:t>
      </w:r>
    </w:p>
    <w:p w14:paraId="7DA095AA" w14:textId="6AAF49D4" w:rsidR="00596BAB" w:rsidRPr="00596BAB" w:rsidRDefault="00596BAB" w:rsidP="00596BAB">
      <w:r>
        <w:t xml:space="preserve">The latest policy regarding Superannuation balances above $3 million is causing concern amongst investors, especially the self-managed super funds. An additional tax of 15% on top of the existing 15% will mean that the </w:t>
      </w:r>
      <w:r w:rsidRPr="00596BAB">
        <w:rPr>
          <w:b/>
          <w:bCs/>
        </w:rPr>
        <w:t>balance above the $3 million threshold will incur 30% tax on income</w:t>
      </w:r>
      <w:r>
        <w:t xml:space="preserve">. The bigger concern relates to </w:t>
      </w:r>
      <w:r w:rsidRPr="00596BAB">
        <w:rPr>
          <w:b/>
          <w:bCs/>
        </w:rPr>
        <w:t>a tax on unrealised capital gains</w:t>
      </w:r>
      <w:r>
        <w:t xml:space="preserve"> which if implemented will cause cash flow issues for funds to meet this tax.</w:t>
      </w:r>
    </w:p>
    <w:p w14:paraId="09E86B6C" w14:textId="6445BA7E" w:rsidR="0018703E" w:rsidRPr="0018703E" w:rsidRDefault="0018703E" w:rsidP="0018703E">
      <w:r>
        <w:t xml:space="preserve">The market is expecting a </w:t>
      </w:r>
      <w:r w:rsidRPr="00596BAB">
        <w:rPr>
          <w:b/>
          <w:bCs/>
        </w:rPr>
        <w:t>0.25% cut to interest rates</w:t>
      </w:r>
      <w:r>
        <w:t xml:space="preserve"> at the coming RBA monetary policy meeting next week. This will help borrowers in the short-term and support share market valuations.</w:t>
      </w:r>
    </w:p>
    <w:p w14:paraId="1B4AEE86" w14:textId="58CB9E2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70DE649A" w14:textId="37A8DE85" w:rsidR="009965D9" w:rsidRDefault="00FD5867" w:rsidP="00E02932">
      <w:pPr>
        <w:spacing w:before="120" w:after="120"/>
      </w:pPr>
      <w:r>
        <w:t>Global</w:t>
      </w:r>
      <w:r w:rsidR="00F11088">
        <w:t xml:space="preserve"> </w:t>
      </w:r>
      <w:r w:rsidR="0077020B">
        <w:t xml:space="preserve">share </w:t>
      </w:r>
      <w:r w:rsidR="002761ED">
        <w:t xml:space="preserve">market </w:t>
      </w:r>
      <w:r w:rsidR="0018703E">
        <w:t xml:space="preserve">is </w:t>
      </w:r>
      <w:r w:rsidR="0018703E" w:rsidRPr="0018703E">
        <w:rPr>
          <w:b/>
          <w:bCs/>
        </w:rPr>
        <w:t>on hold for the next 90 days</w:t>
      </w:r>
      <w:r w:rsidR="0018703E">
        <w:t xml:space="preserve"> as investors assess the tariff changes going forward. The state </w:t>
      </w:r>
      <w:r w:rsidR="00A21943">
        <w:t xml:space="preserve">of the US economy and the pace of </w:t>
      </w:r>
      <w:r w:rsidR="00242925">
        <w:t>Central Bank easing</w:t>
      </w:r>
      <w:r w:rsidR="0018703E">
        <w:t xml:space="preserve"> is very much in focus</w:t>
      </w:r>
      <w:r w:rsidR="00A21943">
        <w:t xml:space="preserve">. </w:t>
      </w:r>
      <w:r w:rsidR="009965D9">
        <w:t xml:space="preserve">The latest imposition of tariffs by the US Government has disrupted the ebb and flow of markets and will take some time to understand the impact on companies and consumption. This makes it difficult to gain an oversight of interest rates and share markets that have suffered bouts of volatility since </w:t>
      </w:r>
      <w:r w:rsidR="0054797D">
        <w:t xml:space="preserve">the announcements started in </w:t>
      </w:r>
      <w:r w:rsidR="009965D9">
        <w:t>January 2025.</w:t>
      </w:r>
    </w:p>
    <w:p w14:paraId="600F27A5" w14:textId="5DE19EF7" w:rsidR="009965D9" w:rsidRDefault="009965D9" w:rsidP="00E02932">
      <w:pPr>
        <w:spacing w:before="120" w:after="120"/>
      </w:pPr>
      <w:r>
        <w:t xml:space="preserve">Global markets have dealt with tariffs in the past and they will settle given the charges have only just begun. </w:t>
      </w:r>
      <w:r w:rsidR="0054797D">
        <w:t xml:space="preserve">The implementation of the tariffs will take time to work through and in the interim, markets will remain on alert. </w:t>
      </w:r>
      <w:r w:rsidRPr="00D110CF">
        <w:rPr>
          <w:b/>
          <w:bCs/>
        </w:rPr>
        <w:t>We remain optimistic about the future</w:t>
      </w:r>
      <w:r w:rsidR="0029095D">
        <w:rPr>
          <w:b/>
          <w:bCs/>
        </w:rPr>
        <w:t xml:space="preserve"> </w:t>
      </w:r>
      <w:r w:rsidR="0029095D" w:rsidRPr="00CC01D6">
        <w:t xml:space="preserve">despite the tariffs and </w:t>
      </w:r>
      <w:r w:rsidR="00CC01D6" w:rsidRPr="00CC01D6">
        <w:t>the</w:t>
      </w:r>
      <w:r w:rsidR="00CC01D6">
        <w:rPr>
          <w:b/>
          <w:bCs/>
        </w:rPr>
        <w:t xml:space="preserve"> interruption to global trade.</w:t>
      </w:r>
    </w:p>
    <w:p w14:paraId="670F5E44" w14:textId="566BC1A7" w:rsidR="009B38B3" w:rsidRDefault="00CC3247" w:rsidP="00E02932">
      <w:pPr>
        <w:spacing w:before="120" w:after="120"/>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Hezbollah </w:t>
      </w:r>
      <w:r w:rsidR="00254625">
        <w:t>and Houthi</w:t>
      </w:r>
      <w:r w:rsidR="006277A4">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w:t>
      </w:r>
      <w:r w:rsidR="00885792">
        <w:rPr>
          <w:b/>
          <w:bCs/>
        </w:rPr>
        <w:t>reasonable</w:t>
      </w:r>
      <w:r w:rsidR="00090E25" w:rsidRPr="00090E25">
        <w:rPr>
          <w:b/>
          <w:bCs/>
        </w:rPr>
        <w:t xml:space="preserve"> opportunities for investors</w:t>
      </w:r>
      <w:r w:rsidR="00090E25">
        <w:t xml:space="preserve">. </w:t>
      </w:r>
      <w:r w:rsidR="008405E7">
        <w:t>C</w:t>
      </w:r>
      <w:r w:rsidR="00C5696F">
        <w:t xml:space="preserve">ompany </w:t>
      </w:r>
      <w:r w:rsidR="008405E7">
        <w:t>reporting season has resulted in mostly positive earnings and a better outlook r</w:t>
      </w:r>
      <w:r w:rsidR="00D110CF">
        <w:t>eflect</w:t>
      </w:r>
      <w:r w:rsidR="008405E7">
        <w:t>ing</w:t>
      </w:r>
      <w:r w:rsidR="00D110CF">
        <w:t xml:space="preserve"> a recovering economy and improving inflation data. I</w:t>
      </w:r>
      <w:r w:rsidR="00600EF9">
        <w:t>nterest rates search for equilibrium</w:t>
      </w:r>
      <w:r w:rsidR="002761ED">
        <w:t xml:space="preserve"> </w:t>
      </w:r>
      <w:r w:rsidR="00885792">
        <w:t xml:space="preserve">somewhere </w:t>
      </w:r>
      <w:r w:rsidR="002761ED">
        <w:t>between the current supply and demand for capital</w:t>
      </w:r>
      <w:r w:rsidR="00C00E8F">
        <w:t>.</w:t>
      </w:r>
      <w:r w:rsidR="00005474">
        <w:rPr>
          <w:rFonts w:ascii="Calibri" w:hAnsi="Calibri" w:cs="Calibri"/>
          <w:color w:val="222222"/>
          <w:sz w:val="24"/>
          <w:szCs w:val="24"/>
          <w:shd w:val="clear" w:color="auto" w:fill="FFFFFF"/>
        </w:rPr>
        <w:t xml:space="preserve"> </w:t>
      </w:r>
      <w:r w:rsidR="00D110CF">
        <w:rPr>
          <w:rFonts w:ascii="Calibri" w:hAnsi="Calibri" w:cs="Calibri"/>
          <w:color w:val="222222"/>
          <w:sz w:val="24"/>
          <w:szCs w:val="24"/>
          <w:shd w:val="clear" w:color="auto" w:fill="FFFFFF"/>
        </w:rPr>
        <w:t xml:space="preserve">We see the US equilibrium interest rates between 3.75% and </w:t>
      </w:r>
      <w:r w:rsidR="00DE11E9">
        <w:rPr>
          <w:rFonts w:ascii="Calibri" w:hAnsi="Calibri" w:cs="Calibri"/>
          <w:color w:val="222222"/>
          <w:sz w:val="24"/>
          <w:szCs w:val="24"/>
          <w:shd w:val="clear" w:color="auto" w:fill="FFFFFF"/>
        </w:rPr>
        <w:t>4.00%.</w:t>
      </w:r>
    </w:p>
    <w:p w14:paraId="4116AF4B" w14:textId="77777777" w:rsidR="00596BAB" w:rsidRDefault="00596BAB" w:rsidP="00E02932">
      <w:pPr>
        <w:spacing w:before="120" w:after="120"/>
        <w:rPr>
          <w:rFonts w:ascii="Calibri" w:hAnsi="Calibri" w:cs="Calibri"/>
          <w:color w:val="222222"/>
          <w:sz w:val="24"/>
          <w:szCs w:val="24"/>
          <w:shd w:val="clear" w:color="auto" w:fill="FFFFFF"/>
        </w:rPr>
      </w:pPr>
    </w:p>
    <w:p w14:paraId="731A0A31" w14:textId="77777777" w:rsidR="00596BAB" w:rsidRDefault="00596BAB" w:rsidP="00E02932">
      <w:pPr>
        <w:spacing w:before="120" w:after="120"/>
        <w:rPr>
          <w:rFonts w:ascii="Calibri" w:hAnsi="Calibri" w:cs="Calibri"/>
          <w:color w:val="222222"/>
          <w:sz w:val="24"/>
          <w:szCs w:val="24"/>
          <w:shd w:val="clear" w:color="auto" w:fill="FFFFFF"/>
        </w:rPr>
      </w:pPr>
    </w:p>
    <w:p w14:paraId="746B3093" w14:textId="22FABC60" w:rsidR="00476B80" w:rsidRPr="00E37E86" w:rsidRDefault="00FA2956" w:rsidP="004273DE">
      <w:pPr>
        <w:spacing w:before="120" w:after="120"/>
        <w:rPr>
          <w:b/>
          <w:bCs/>
        </w:rPr>
      </w:pPr>
      <w:r>
        <w:rPr>
          <w:b/>
          <w:bCs/>
        </w:rPr>
        <w:lastRenderedPageBreak/>
        <w:t>Where to From Here?</w:t>
      </w:r>
    </w:p>
    <w:p w14:paraId="3208B238" w14:textId="2523F22A" w:rsidR="002761ED" w:rsidRDefault="00FA2956" w:rsidP="004273DE">
      <w:pPr>
        <w:spacing w:before="120" w:after="120"/>
      </w:pPr>
      <w:r w:rsidRPr="00850E8E">
        <w:rPr>
          <w:b/>
          <w:bCs/>
        </w:rPr>
        <w:t xml:space="preserve">For </w:t>
      </w:r>
      <w:r w:rsidR="00254625" w:rsidRPr="00850E8E">
        <w:rPr>
          <w:b/>
          <w:bCs/>
        </w:rPr>
        <w:t>Australia</w:t>
      </w:r>
      <w:r w:rsidR="00254625">
        <w:t>, a</w:t>
      </w:r>
      <w:r w:rsidR="002761ED">
        <w:t xml:space="preserve">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w:t>
      </w:r>
      <w:r w:rsidR="00254625">
        <w:t>terms,</w:t>
      </w:r>
      <w:r w:rsidR="0002488F">
        <w:t xml:space="preserve">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74E0578" w14:textId="6E4B1184" w:rsidR="00967859" w:rsidRDefault="00D110CF" w:rsidP="004273DE">
      <w:pPr>
        <w:spacing w:before="120" w:after="120"/>
      </w:pPr>
      <w:r>
        <w:t xml:space="preserve">Tariffs have had a </w:t>
      </w:r>
      <w:r w:rsidRPr="007D587E">
        <w:rPr>
          <w:b/>
          <w:bCs/>
        </w:rPr>
        <w:t>muted impact</w:t>
      </w:r>
      <w:r>
        <w:t xml:space="preserve"> on our resource sector to date although the market </w:t>
      </w:r>
      <w:r w:rsidR="00967859">
        <w:t xml:space="preserve">did </w:t>
      </w:r>
      <w:r w:rsidR="00DE11E9">
        <w:t>overreact</w:t>
      </w:r>
      <w:r w:rsidR="00967859">
        <w:t xml:space="preserve"> on the downside initially most of which has been unwound of late.</w:t>
      </w:r>
    </w:p>
    <w:p w14:paraId="2DD8849D" w14:textId="41660702" w:rsidR="009E17E6" w:rsidRDefault="00A85EE1" w:rsidP="004273DE">
      <w:pPr>
        <w:spacing w:before="120" w:after="120"/>
      </w:pPr>
      <w:r>
        <w:t xml:space="preserve">Company reporting season </w:t>
      </w:r>
      <w:r w:rsidR="00967859">
        <w:t>has been</w:t>
      </w:r>
      <w:r w:rsidR="00D110CF">
        <w:t xml:space="preserve"> subdued however, </w:t>
      </w:r>
      <w:r w:rsidR="00967859">
        <w:t>there</w:t>
      </w:r>
      <w:r w:rsidR="00D110CF">
        <w:t xml:space="preserve"> are </w:t>
      </w:r>
      <w:r>
        <w:t xml:space="preserve">early signs that guidance is being met or exceeded </w:t>
      </w:r>
      <w:r w:rsidR="00D110CF">
        <w:t xml:space="preserve">in key industries </w:t>
      </w:r>
      <w:r>
        <w:t>which will support the positive momentum of the share market.</w:t>
      </w:r>
    </w:p>
    <w:p w14:paraId="6BF46611" w14:textId="554BD651" w:rsidR="00DC3092" w:rsidRPr="00DC3092" w:rsidRDefault="00A85EE1" w:rsidP="004273DE">
      <w:pPr>
        <w:spacing w:before="120" w:after="120"/>
      </w:pPr>
      <w:r>
        <w:rPr>
          <w:b/>
          <w:bCs/>
        </w:rPr>
        <w:t>T</w:t>
      </w:r>
      <w:r w:rsidRPr="00A85EE1">
        <w:rPr>
          <w:b/>
          <w:bCs/>
        </w:rPr>
        <w:t xml:space="preserve">he </w:t>
      </w:r>
      <w:r w:rsidR="00DC3092" w:rsidRPr="00A85EE1">
        <w:rPr>
          <w:b/>
          <w:bCs/>
        </w:rPr>
        <w:t>Middle East political unrest</w:t>
      </w:r>
      <w:r>
        <w:rPr>
          <w:b/>
          <w:bCs/>
        </w:rPr>
        <w:t xml:space="preserve"> </w:t>
      </w:r>
      <w:r w:rsidRPr="00A85EE1">
        <w:t>is a background factor</w:t>
      </w:r>
      <w:r>
        <w:t xml:space="preserve"> that is not easily solved.</w:t>
      </w:r>
      <w:r w:rsidR="00DC3092">
        <w:rPr>
          <w:b/>
          <w:bCs/>
        </w:rPr>
        <w:t xml:space="preserve">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35B23EF8"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w:t>
      </w:r>
      <w:r w:rsidR="007D1BED" w:rsidRPr="007D1BED">
        <w:rPr>
          <w:b/>
          <w:bCs/>
        </w:rPr>
        <w:t>soft landing</w:t>
      </w:r>
      <w:r w:rsidR="007D1BED">
        <w:t xml:space="preserve"> rather than a mild recession</w:t>
      </w:r>
      <w:r w:rsidR="00B52912">
        <w:t xml:space="preserve"> </w:t>
      </w:r>
      <w:r w:rsidR="0002488F">
        <w:t xml:space="preserve">in the US and </w:t>
      </w:r>
      <w:r w:rsidR="00967859">
        <w:t xml:space="preserve">pockets of growth emerging for </w:t>
      </w:r>
      <w:r w:rsidR="0002488F">
        <w:t>Europe</w:t>
      </w:r>
      <w:r w:rsidR="00967859">
        <w:t>.</w:t>
      </w:r>
    </w:p>
    <w:p w14:paraId="5B807CD0" w14:textId="1BB0A242" w:rsidR="007D587E" w:rsidRDefault="007D587E" w:rsidP="009E7EF6">
      <w:r>
        <w:t xml:space="preserve">The latest sell-off </w:t>
      </w:r>
      <w:r w:rsidR="00967859">
        <w:t xml:space="preserve">and associated rebound </w:t>
      </w:r>
      <w:r>
        <w:t xml:space="preserve">is </w:t>
      </w:r>
      <w:r w:rsidRPr="00A21E50">
        <w:rPr>
          <w:b/>
          <w:bCs/>
        </w:rPr>
        <w:t>healthy for markets</w:t>
      </w:r>
      <w:r>
        <w:t xml:space="preserve"> as it lets investors </w:t>
      </w:r>
      <w:r w:rsidRPr="00A21E50">
        <w:rPr>
          <w:b/>
          <w:bCs/>
        </w:rPr>
        <w:t>recalibrate</w:t>
      </w:r>
      <w:r>
        <w:t xml:space="preserve"> their portfolios and pick up bargains along the way. Disruption can be rewarding but care needs to be taken in the bouts of volatility not to overreact.</w:t>
      </w:r>
    </w:p>
    <w:p w14:paraId="67B2D452" w14:textId="624D8947"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00B20C21">
        <w:t xml:space="preserve">not yet </w:t>
      </w:r>
      <w:r w:rsidRPr="00005474">
        <w:rPr>
          <w:b/>
          <w:bCs/>
        </w:rPr>
        <w:t>found</w:t>
      </w:r>
      <w:r w:rsidR="00B52912" w:rsidRPr="00005474">
        <w:rPr>
          <w:b/>
          <w:bCs/>
        </w:rPr>
        <w:t xml:space="preserve"> a</w:t>
      </w:r>
      <w:r w:rsidR="00B52912" w:rsidRPr="00A64C25">
        <w:rPr>
          <w:b/>
          <w:bCs/>
        </w:rPr>
        <w:t xml:space="preserve"> </w:t>
      </w:r>
      <w:r w:rsidR="00B20C21">
        <w:rPr>
          <w:b/>
          <w:bCs/>
        </w:rPr>
        <w:t xml:space="preserve">solid </w:t>
      </w:r>
      <w:r w:rsidR="00B52912" w:rsidRPr="00A64C25">
        <w:rPr>
          <w:b/>
          <w:bCs/>
        </w:rPr>
        <w:t xml:space="preserve">bottom </w:t>
      </w:r>
      <w:r w:rsidR="004A734E" w:rsidRPr="00A64C25">
        <w:rPr>
          <w:b/>
          <w:bCs/>
        </w:rPr>
        <w:t xml:space="preserve">and </w:t>
      </w:r>
      <w:r w:rsidR="00DF2504">
        <w:rPr>
          <w:b/>
          <w:bCs/>
        </w:rPr>
        <w:t>now see</w:t>
      </w:r>
      <w:r w:rsidR="00B20C21">
        <w:rPr>
          <w:b/>
          <w:bCs/>
        </w:rPr>
        <w:t xml:space="preserve">king evidence of </w:t>
      </w:r>
      <w:r w:rsidR="00DF2504">
        <w:rPr>
          <w:b/>
          <w:bCs/>
        </w:rPr>
        <w:t xml:space="preserve">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59ED9EB9" w14:textId="77777777" w:rsidR="00A51B7A" w:rsidRDefault="00A51B7A" w:rsidP="0090611C">
      <w:pPr>
        <w:rPr>
          <w:b/>
          <w:bCs/>
        </w:rPr>
      </w:pPr>
    </w:p>
    <w:p w14:paraId="0CAC2035" w14:textId="77777777" w:rsidR="00A51B7A" w:rsidRDefault="00A51B7A" w:rsidP="0090611C">
      <w:pPr>
        <w:rPr>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0E7F21BF" w:rsidR="00DE74A4" w:rsidRPr="000F52AB" w:rsidRDefault="009E7EF6" w:rsidP="00421DFB">
      <w:r w:rsidRPr="00A851EE">
        <w:rPr>
          <w:sz w:val="18"/>
        </w:rPr>
        <w:t xml:space="preserve">This market update written by Graham Fox for and on behalf of HNW Planning on </w:t>
      </w:r>
      <w:r w:rsidR="004A1535">
        <w:rPr>
          <w:sz w:val="18"/>
        </w:rPr>
        <w:t>1</w:t>
      </w:r>
      <w:r w:rsidR="00967859">
        <w:rPr>
          <w:sz w:val="18"/>
        </w:rPr>
        <w:t>6</w:t>
      </w:r>
      <w:r w:rsidRPr="00A851EE">
        <w:rPr>
          <w:sz w:val="18"/>
        </w:rPr>
        <w:t>/</w:t>
      </w:r>
      <w:r w:rsidR="00DD4708">
        <w:rPr>
          <w:sz w:val="18"/>
        </w:rPr>
        <w:t>0</w:t>
      </w:r>
      <w:r w:rsidR="00967859">
        <w:rPr>
          <w:sz w:val="18"/>
        </w:rPr>
        <w:t>5</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2"/>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4FFE" w14:textId="77777777" w:rsidR="005F339C" w:rsidRDefault="005F339C" w:rsidP="00EB28A8">
      <w:pPr>
        <w:spacing w:after="0" w:line="240" w:lineRule="auto"/>
      </w:pPr>
      <w:r>
        <w:separator/>
      </w:r>
    </w:p>
  </w:endnote>
  <w:endnote w:type="continuationSeparator" w:id="0">
    <w:p w14:paraId="323C23BF" w14:textId="77777777" w:rsidR="005F339C" w:rsidRDefault="005F339C"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4C1F" w14:textId="77777777" w:rsidR="005F339C" w:rsidRDefault="005F339C" w:rsidP="00EB28A8">
      <w:pPr>
        <w:spacing w:after="0" w:line="240" w:lineRule="auto"/>
      </w:pPr>
      <w:r>
        <w:separator/>
      </w:r>
    </w:p>
  </w:footnote>
  <w:footnote w:type="continuationSeparator" w:id="0">
    <w:p w14:paraId="71857267" w14:textId="77777777" w:rsidR="005F339C" w:rsidRDefault="005F339C"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6"/>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7"/>
  </w:num>
  <w:num w:numId="8" w16cid:durableId="1542089249">
    <w:abstractNumId w:val="8"/>
  </w:num>
  <w:num w:numId="9" w16cid:durableId="5621821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5CC"/>
    <w:rsid w:val="00004613"/>
    <w:rsid w:val="00005474"/>
    <w:rsid w:val="00006CCB"/>
    <w:rsid w:val="000072B0"/>
    <w:rsid w:val="000073D1"/>
    <w:rsid w:val="00010B1D"/>
    <w:rsid w:val="00011A16"/>
    <w:rsid w:val="00012004"/>
    <w:rsid w:val="00012007"/>
    <w:rsid w:val="00012BF9"/>
    <w:rsid w:val="0001508D"/>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17C"/>
    <w:rsid w:val="00041762"/>
    <w:rsid w:val="00042755"/>
    <w:rsid w:val="0004442A"/>
    <w:rsid w:val="00045650"/>
    <w:rsid w:val="000458E9"/>
    <w:rsid w:val="00046301"/>
    <w:rsid w:val="00046589"/>
    <w:rsid w:val="00046840"/>
    <w:rsid w:val="00046899"/>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BF"/>
    <w:rsid w:val="000678F3"/>
    <w:rsid w:val="00071486"/>
    <w:rsid w:val="00072B77"/>
    <w:rsid w:val="000732F1"/>
    <w:rsid w:val="00074A1A"/>
    <w:rsid w:val="00076007"/>
    <w:rsid w:val="000764FC"/>
    <w:rsid w:val="00077B36"/>
    <w:rsid w:val="00077BE9"/>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08BF"/>
    <w:rsid w:val="000A1A15"/>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3366"/>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166"/>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5F3"/>
    <w:rsid w:val="00140858"/>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0FC0"/>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03E"/>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4083"/>
    <w:rsid w:val="001A7A42"/>
    <w:rsid w:val="001B06AA"/>
    <w:rsid w:val="001B08D3"/>
    <w:rsid w:val="001B0D6B"/>
    <w:rsid w:val="001B12A9"/>
    <w:rsid w:val="001B1664"/>
    <w:rsid w:val="001B3379"/>
    <w:rsid w:val="001B3923"/>
    <w:rsid w:val="001B6CB4"/>
    <w:rsid w:val="001B6DA8"/>
    <w:rsid w:val="001C03FC"/>
    <w:rsid w:val="001C3AA0"/>
    <w:rsid w:val="001C431B"/>
    <w:rsid w:val="001C4340"/>
    <w:rsid w:val="001C4744"/>
    <w:rsid w:val="001C4983"/>
    <w:rsid w:val="001C4A6F"/>
    <w:rsid w:val="001C51F1"/>
    <w:rsid w:val="001C5422"/>
    <w:rsid w:val="001C5785"/>
    <w:rsid w:val="001C5C1E"/>
    <w:rsid w:val="001C71C7"/>
    <w:rsid w:val="001C7E65"/>
    <w:rsid w:val="001D0CB0"/>
    <w:rsid w:val="001D1BE0"/>
    <w:rsid w:val="001D27DC"/>
    <w:rsid w:val="001D4157"/>
    <w:rsid w:val="001D48CC"/>
    <w:rsid w:val="001D4978"/>
    <w:rsid w:val="001D5F2A"/>
    <w:rsid w:val="001D6939"/>
    <w:rsid w:val="001E009D"/>
    <w:rsid w:val="001E0455"/>
    <w:rsid w:val="001E16AE"/>
    <w:rsid w:val="001E2B4C"/>
    <w:rsid w:val="001E2CD5"/>
    <w:rsid w:val="001E3557"/>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30A8F"/>
    <w:rsid w:val="0023164B"/>
    <w:rsid w:val="00232598"/>
    <w:rsid w:val="002339AC"/>
    <w:rsid w:val="00233D00"/>
    <w:rsid w:val="002344AE"/>
    <w:rsid w:val="00234D9D"/>
    <w:rsid w:val="002350CD"/>
    <w:rsid w:val="00235353"/>
    <w:rsid w:val="00235AFB"/>
    <w:rsid w:val="00236F73"/>
    <w:rsid w:val="002376A3"/>
    <w:rsid w:val="002378C4"/>
    <w:rsid w:val="00237BF2"/>
    <w:rsid w:val="00240594"/>
    <w:rsid w:val="0024149E"/>
    <w:rsid w:val="0024288B"/>
    <w:rsid w:val="00242925"/>
    <w:rsid w:val="002431FA"/>
    <w:rsid w:val="002440F5"/>
    <w:rsid w:val="0024668D"/>
    <w:rsid w:val="00246A5B"/>
    <w:rsid w:val="00247C5F"/>
    <w:rsid w:val="00247E87"/>
    <w:rsid w:val="0025086B"/>
    <w:rsid w:val="002537E1"/>
    <w:rsid w:val="00254625"/>
    <w:rsid w:val="00254B16"/>
    <w:rsid w:val="0025538C"/>
    <w:rsid w:val="0025660A"/>
    <w:rsid w:val="00256EB9"/>
    <w:rsid w:val="002570D5"/>
    <w:rsid w:val="0025751D"/>
    <w:rsid w:val="00257621"/>
    <w:rsid w:val="00260221"/>
    <w:rsid w:val="00260264"/>
    <w:rsid w:val="00260D16"/>
    <w:rsid w:val="002616C9"/>
    <w:rsid w:val="002627B9"/>
    <w:rsid w:val="002645FE"/>
    <w:rsid w:val="00264F56"/>
    <w:rsid w:val="002656F2"/>
    <w:rsid w:val="002668D8"/>
    <w:rsid w:val="002671FD"/>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95D"/>
    <w:rsid w:val="00290B47"/>
    <w:rsid w:val="00291067"/>
    <w:rsid w:val="0029191E"/>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4FE"/>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285D"/>
    <w:rsid w:val="002D47EA"/>
    <w:rsid w:val="002D4F09"/>
    <w:rsid w:val="002D4FBF"/>
    <w:rsid w:val="002D53B9"/>
    <w:rsid w:val="002D5D13"/>
    <w:rsid w:val="002D7C21"/>
    <w:rsid w:val="002D7EED"/>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6BF"/>
    <w:rsid w:val="00300938"/>
    <w:rsid w:val="00300FD9"/>
    <w:rsid w:val="00301330"/>
    <w:rsid w:val="00301803"/>
    <w:rsid w:val="00301F84"/>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4DDF"/>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313"/>
    <w:rsid w:val="00365400"/>
    <w:rsid w:val="003654CD"/>
    <w:rsid w:val="00365C86"/>
    <w:rsid w:val="00366EA8"/>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428"/>
    <w:rsid w:val="00387588"/>
    <w:rsid w:val="00387C8F"/>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241"/>
    <w:rsid w:val="003A7C20"/>
    <w:rsid w:val="003B014A"/>
    <w:rsid w:val="003B086D"/>
    <w:rsid w:val="003B094A"/>
    <w:rsid w:val="003B1467"/>
    <w:rsid w:val="003B191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2CC1"/>
    <w:rsid w:val="003D5229"/>
    <w:rsid w:val="003D78AB"/>
    <w:rsid w:val="003E1682"/>
    <w:rsid w:val="003E1A6E"/>
    <w:rsid w:val="003E1E0A"/>
    <w:rsid w:val="003E1FA0"/>
    <w:rsid w:val="003E2AA4"/>
    <w:rsid w:val="003E37EE"/>
    <w:rsid w:val="003E3E67"/>
    <w:rsid w:val="003E5CBD"/>
    <w:rsid w:val="003E66A5"/>
    <w:rsid w:val="003E7BC7"/>
    <w:rsid w:val="003F0516"/>
    <w:rsid w:val="003F48A6"/>
    <w:rsid w:val="003F4C03"/>
    <w:rsid w:val="003F5122"/>
    <w:rsid w:val="003F6017"/>
    <w:rsid w:val="003F65C3"/>
    <w:rsid w:val="003F6F54"/>
    <w:rsid w:val="003F73CE"/>
    <w:rsid w:val="0040095F"/>
    <w:rsid w:val="004010C2"/>
    <w:rsid w:val="004015A8"/>
    <w:rsid w:val="00401C8C"/>
    <w:rsid w:val="00402816"/>
    <w:rsid w:val="00402FB6"/>
    <w:rsid w:val="00403EC7"/>
    <w:rsid w:val="0040427A"/>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22E9"/>
    <w:rsid w:val="00432B90"/>
    <w:rsid w:val="00433E2E"/>
    <w:rsid w:val="00433FF5"/>
    <w:rsid w:val="004346A4"/>
    <w:rsid w:val="004358E1"/>
    <w:rsid w:val="00435B82"/>
    <w:rsid w:val="00435C10"/>
    <w:rsid w:val="00435DC7"/>
    <w:rsid w:val="004361BB"/>
    <w:rsid w:val="00436ACA"/>
    <w:rsid w:val="00436EB4"/>
    <w:rsid w:val="004405E5"/>
    <w:rsid w:val="00440D16"/>
    <w:rsid w:val="00440D3D"/>
    <w:rsid w:val="004429BF"/>
    <w:rsid w:val="00442AE0"/>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5D"/>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3955"/>
    <w:rsid w:val="004A4F77"/>
    <w:rsid w:val="004A6010"/>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466F"/>
    <w:rsid w:val="00504D3F"/>
    <w:rsid w:val="00505747"/>
    <w:rsid w:val="0050634B"/>
    <w:rsid w:val="00512FA6"/>
    <w:rsid w:val="00513CA7"/>
    <w:rsid w:val="0051525A"/>
    <w:rsid w:val="0051583F"/>
    <w:rsid w:val="00515B71"/>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4797D"/>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6BAB"/>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2FDE"/>
    <w:rsid w:val="005D30D3"/>
    <w:rsid w:val="005D3711"/>
    <w:rsid w:val="005D39F6"/>
    <w:rsid w:val="005D4428"/>
    <w:rsid w:val="005D57B1"/>
    <w:rsid w:val="005D6DB2"/>
    <w:rsid w:val="005D6E32"/>
    <w:rsid w:val="005D779E"/>
    <w:rsid w:val="005D7E5A"/>
    <w:rsid w:val="005E1E51"/>
    <w:rsid w:val="005E2C87"/>
    <w:rsid w:val="005E2FB8"/>
    <w:rsid w:val="005E4197"/>
    <w:rsid w:val="005E4C49"/>
    <w:rsid w:val="005E629C"/>
    <w:rsid w:val="005E6B6B"/>
    <w:rsid w:val="005E7342"/>
    <w:rsid w:val="005E768C"/>
    <w:rsid w:val="005F118A"/>
    <w:rsid w:val="005F1AE1"/>
    <w:rsid w:val="005F1D32"/>
    <w:rsid w:val="005F1E09"/>
    <w:rsid w:val="005F21FA"/>
    <w:rsid w:val="005F2B90"/>
    <w:rsid w:val="005F32AC"/>
    <w:rsid w:val="005F339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5A2"/>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4526C"/>
    <w:rsid w:val="00650252"/>
    <w:rsid w:val="006504F7"/>
    <w:rsid w:val="00651220"/>
    <w:rsid w:val="006515F3"/>
    <w:rsid w:val="00653261"/>
    <w:rsid w:val="006536A9"/>
    <w:rsid w:val="0065617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635E"/>
    <w:rsid w:val="00677BFA"/>
    <w:rsid w:val="00680B35"/>
    <w:rsid w:val="00680B48"/>
    <w:rsid w:val="00680BB2"/>
    <w:rsid w:val="006820B4"/>
    <w:rsid w:val="006828F2"/>
    <w:rsid w:val="00682F59"/>
    <w:rsid w:val="0068461E"/>
    <w:rsid w:val="00686531"/>
    <w:rsid w:val="00686D84"/>
    <w:rsid w:val="00687048"/>
    <w:rsid w:val="00687F60"/>
    <w:rsid w:val="0069334F"/>
    <w:rsid w:val="006956CE"/>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62A6"/>
    <w:rsid w:val="006C68B8"/>
    <w:rsid w:val="006C6CFC"/>
    <w:rsid w:val="006C7AED"/>
    <w:rsid w:val="006D02E1"/>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28C"/>
    <w:rsid w:val="00703580"/>
    <w:rsid w:val="007037A8"/>
    <w:rsid w:val="00704DC0"/>
    <w:rsid w:val="00706124"/>
    <w:rsid w:val="0070722D"/>
    <w:rsid w:val="007077FC"/>
    <w:rsid w:val="00710080"/>
    <w:rsid w:val="00711DF0"/>
    <w:rsid w:val="00711F59"/>
    <w:rsid w:val="007128CD"/>
    <w:rsid w:val="00712A94"/>
    <w:rsid w:val="00712EFE"/>
    <w:rsid w:val="00712F6A"/>
    <w:rsid w:val="007145A7"/>
    <w:rsid w:val="00714CEB"/>
    <w:rsid w:val="00715AA0"/>
    <w:rsid w:val="00716C33"/>
    <w:rsid w:val="00720E08"/>
    <w:rsid w:val="0072131D"/>
    <w:rsid w:val="00722592"/>
    <w:rsid w:val="007233A7"/>
    <w:rsid w:val="00723CD3"/>
    <w:rsid w:val="00724B5F"/>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5A91"/>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6786"/>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508"/>
    <w:rsid w:val="00803BDF"/>
    <w:rsid w:val="00804AE4"/>
    <w:rsid w:val="00806607"/>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05E7"/>
    <w:rsid w:val="00841264"/>
    <w:rsid w:val="008419F1"/>
    <w:rsid w:val="00841E43"/>
    <w:rsid w:val="00843E57"/>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6A66"/>
    <w:rsid w:val="00877A32"/>
    <w:rsid w:val="008800CA"/>
    <w:rsid w:val="00880118"/>
    <w:rsid w:val="0088021D"/>
    <w:rsid w:val="008811F8"/>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EBA"/>
    <w:rsid w:val="00897EFF"/>
    <w:rsid w:val="008A0FAC"/>
    <w:rsid w:val="008A1580"/>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1021"/>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47D94"/>
    <w:rsid w:val="0095037E"/>
    <w:rsid w:val="009516D5"/>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4425"/>
    <w:rsid w:val="0096478F"/>
    <w:rsid w:val="00965252"/>
    <w:rsid w:val="0096556B"/>
    <w:rsid w:val="009657F3"/>
    <w:rsid w:val="0096593D"/>
    <w:rsid w:val="00966124"/>
    <w:rsid w:val="00966CD8"/>
    <w:rsid w:val="009677B1"/>
    <w:rsid w:val="009677BC"/>
    <w:rsid w:val="00967859"/>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955"/>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4FFC"/>
    <w:rsid w:val="0099530F"/>
    <w:rsid w:val="00995C0F"/>
    <w:rsid w:val="009965D9"/>
    <w:rsid w:val="00996BCF"/>
    <w:rsid w:val="00997A4E"/>
    <w:rsid w:val="009A1740"/>
    <w:rsid w:val="009A1A13"/>
    <w:rsid w:val="009A1E16"/>
    <w:rsid w:val="009A1EC5"/>
    <w:rsid w:val="009A2A00"/>
    <w:rsid w:val="009A3B4B"/>
    <w:rsid w:val="009A3B59"/>
    <w:rsid w:val="009A6229"/>
    <w:rsid w:val="009A6978"/>
    <w:rsid w:val="009A724B"/>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3B5"/>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D7873"/>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1AB"/>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27D42"/>
    <w:rsid w:val="00A3027F"/>
    <w:rsid w:val="00A303B6"/>
    <w:rsid w:val="00A3063D"/>
    <w:rsid w:val="00A322BD"/>
    <w:rsid w:val="00A32B24"/>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041"/>
    <w:rsid w:val="00A85212"/>
    <w:rsid w:val="00A85A05"/>
    <w:rsid w:val="00A85EE1"/>
    <w:rsid w:val="00A87065"/>
    <w:rsid w:val="00A9044E"/>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67E"/>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B45"/>
    <w:rsid w:val="00B51EA3"/>
    <w:rsid w:val="00B52751"/>
    <w:rsid w:val="00B52912"/>
    <w:rsid w:val="00B53288"/>
    <w:rsid w:val="00B54408"/>
    <w:rsid w:val="00B55883"/>
    <w:rsid w:val="00B55D9D"/>
    <w:rsid w:val="00B562DB"/>
    <w:rsid w:val="00B56D75"/>
    <w:rsid w:val="00B608AB"/>
    <w:rsid w:val="00B61A25"/>
    <w:rsid w:val="00B63FEC"/>
    <w:rsid w:val="00B648FE"/>
    <w:rsid w:val="00B64A21"/>
    <w:rsid w:val="00B6506F"/>
    <w:rsid w:val="00B65180"/>
    <w:rsid w:val="00B65AF5"/>
    <w:rsid w:val="00B6680A"/>
    <w:rsid w:val="00B6686A"/>
    <w:rsid w:val="00B67B9C"/>
    <w:rsid w:val="00B700A9"/>
    <w:rsid w:val="00B72725"/>
    <w:rsid w:val="00B72940"/>
    <w:rsid w:val="00B729B7"/>
    <w:rsid w:val="00B731A1"/>
    <w:rsid w:val="00B743B6"/>
    <w:rsid w:val="00B75178"/>
    <w:rsid w:val="00B752EF"/>
    <w:rsid w:val="00B755CF"/>
    <w:rsid w:val="00B75927"/>
    <w:rsid w:val="00B76606"/>
    <w:rsid w:val="00B76DC1"/>
    <w:rsid w:val="00B800F9"/>
    <w:rsid w:val="00B809F2"/>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1446"/>
    <w:rsid w:val="00BA230E"/>
    <w:rsid w:val="00BA2B8F"/>
    <w:rsid w:val="00BA46D9"/>
    <w:rsid w:val="00BA57D8"/>
    <w:rsid w:val="00BA6274"/>
    <w:rsid w:val="00BA66B9"/>
    <w:rsid w:val="00BB0237"/>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B8"/>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537"/>
    <w:rsid w:val="00C117E1"/>
    <w:rsid w:val="00C11C58"/>
    <w:rsid w:val="00C12415"/>
    <w:rsid w:val="00C12A81"/>
    <w:rsid w:val="00C12F45"/>
    <w:rsid w:val="00C1428B"/>
    <w:rsid w:val="00C175CC"/>
    <w:rsid w:val="00C17C51"/>
    <w:rsid w:val="00C201F7"/>
    <w:rsid w:val="00C20E83"/>
    <w:rsid w:val="00C222CE"/>
    <w:rsid w:val="00C22F5F"/>
    <w:rsid w:val="00C23855"/>
    <w:rsid w:val="00C25AA0"/>
    <w:rsid w:val="00C25C4C"/>
    <w:rsid w:val="00C25E5F"/>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37C4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A02A5"/>
    <w:rsid w:val="00CA0AF8"/>
    <w:rsid w:val="00CA19F0"/>
    <w:rsid w:val="00CA1DCB"/>
    <w:rsid w:val="00CA2D60"/>
    <w:rsid w:val="00CA374B"/>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01D6"/>
    <w:rsid w:val="00CC263B"/>
    <w:rsid w:val="00CC2CB7"/>
    <w:rsid w:val="00CC3052"/>
    <w:rsid w:val="00CC3247"/>
    <w:rsid w:val="00CC38FA"/>
    <w:rsid w:val="00CC5FD2"/>
    <w:rsid w:val="00CC6517"/>
    <w:rsid w:val="00CC6AD0"/>
    <w:rsid w:val="00CC7292"/>
    <w:rsid w:val="00CC7ADF"/>
    <w:rsid w:val="00CD1996"/>
    <w:rsid w:val="00CD2447"/>
    <w:rsid w:val="00CD2F82"/>
    <w:rsid w:val="00CD312A"/>
    <w:rsid w:val="00CD56F0"/>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730D"/>
    <w:rsid w:val="00D17CAB"/>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2F46"/>
    <w:rsid w:val="00D53B5C"/>
    <w:rsid w:val="00D55755"/>
    <w:rsid w:val="00D56169"/>
    <w:rsid w:val="00D563A9"/>
    <w:rsid w:val="00D5655C"/>
    <w:rsid w:val="00D57D5E"/>
    <w:rsid w:val="00D60B84"/>
    <w:rsid w:val="00D622D0"/>
    <w:rsid w:val="00D62349"/>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2BA"/>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467"/>
    <w:rsid w:val="00DD29F8"/>
    <w:rsid w:val="00DD36DF"/>
    <w:rsid w:val="00DD3BB8"/>
    <w:rsid w:val="00DD3CC2"/>
    <w:rsid w:val="00DD4708"/>
    <w:rsid w:val="00DD4B83"/>
    <w:rsid w:val="00DD5480"/>
    <w:rsid w:val="00DD6C05"/>
    <w:rsid w:val="00DE0182"/>
    <w:rsid w:val="00DE0B7C"/>
    <w:rsid w:val="00DE107E"/>
    <w:rsid w:val="00DE11E9"/>
    <w:rsid w:val="00DE231D"/>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2932"/>
    <w:rsid w:val="00E03EC8"/>
    <w:rsid w:val="00E0440D"/>
    <w:rsid w:val="00E04E4C"/>
    <w:rsid w:val="00E05703"/>
    <w:rsid w:val="00E05A34"/>
    <w:rsid w:val="00E07464"/>
    <w:rsid w:val="00E101E2"/>
    <w:rsid w:val="00E107DD"/>
    <w:rsid w:val="00E1139E"/>
    <w:rsid w:val="00E12FDE"/>
    <w:rsid w:val="00E13FC3"/>
    <w:rsid w:val="00E14BDB"/>
    <w:rsid w:val="00E14DF7"/>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40A1"/>
    <w:rsid w:val="00E441AA"/>
    <w:rsid w:val="00E456BE"/>
    <w:rsid w:val="00E46136"/>
    <w:rsid w:val="00E46C3D"/>
    <w:rsid w:val="00E47B41"/>
    <w:rsid w:val="00E50472"/>
    <w:rsid w:val="00E50893"/>
    <w:rsid w:val="00E51A06"/>
    <w:rsid w:val="00E51D44"/>
    <w:rsid w:val="00E52572"/>
    <w:rsid w:val="00E53F67"/>
    <w:rsid w:val="00E54896"/>
    <w:rsid w:val="00E558B4"/>
    <w:rsid w:val="00E55BCC"/>
    <w:rsid w:val="00E55C5F"/>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A7294"/>
    <w:rsid w:val="00EB0473"/>
    <w:rsid w:val="00EB0AA0"/>
    <w:rsid w:val="00EB28A8"/>
    <w:rsid w:val="00EB2B42"/>
    <w:rsid w:val="00EB3A29"/>
    <w:rsid w:val="00EB3A58"/>
    <w:rsid w:val="00EB4D4C"/>
    <w:rsid w:val="00EB5A2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6AC"/>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D6D"/>
    <w:rsid w:val="00F32028"/>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5F04"/>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67D7A"/>
    <w:rsid w:val="00F70907"/>
    <w:rsid w:val="00F70DAD"/>
    <w:rsid w:val="00F710AE"/>
    <w:rsid w:val="00F72B0F"/>
    <w:rsid w:val="00F73A24"/>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E15A6D7D-0327-42E0-841E-079400693A06}"/>
</file>

<file path=customXml/itemProps3.xml><?xml version="1.0" encoding="utf-8"?>
<ds:datastoreItem xmlns:ds="http://schemas.openxmlformats.org/officeDocument/2006/customXml" ds:itemID="{2C7E0BD4-928B-4654-B230-1C00DA81ED85}"/>
</file>

<file path=customXml/itemProps4.xml><?xml version="1.0" encoding="utf-8"?>
<ds:datastoreItem xmlns:ds="http://schemas.openxmlformats.org/officeDocument/2006/customXml" ds:itemID="{BE8CABE0-9034-418C-AAC5-57457BF8E080}"/>
</file>

<file path=docProps/app.xml><?xml version="1.0" encoding="utf-8"?>
<Properties xmlns="http://schemas.openxmlformats.org/officeDocument/2006/extended-properties" xmlns:vt="http://schemas.openxmlformats.org/officeDocument/2006/docPropsVTypes">
  <Template>Normal</Template>
  <TotalTime>3</TotalTime>
  <Pages>15</Pages>
  <Words>3593</Words>
  <Characters>20482</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2025-05-16T01:05:00Z</dcterms:created>
  <dcterms:modified xsi:type="dcterms:W3CDTF">2025-05-16T01:05:00Z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